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9A1F0" w14:textId="6CA14E01" w:rsidR="001A65B2" w:rsidRPr="0098573C" w:rsidRDefault="001A65B2" w:rsidP="0098573C">
      <w:pPr>
        <w:pStyle w:val="Heading1"/>
      </w:pPr>
      <w:r w:rsidRPr="0098573C">
        <w:t>Example report: Independent auditor’s report on the HRF 602.0 Annual Return</w:t>
      </w:r>
    </w:p>
    <w:p w14:paraId="71CA2E42" w14:textId="77777777" w:rsidR="001A65B2" w:rsidRPr="0098573C" w:rsidRDefault="001A65B2" w:rsidP="00833094">
      <w:pPr>
        <w:pStyle w:val="MailingInstructions"/>
        <w:rPr>
          <w:rFonts w:ascii="Arial" w:hAnsi="Arial" w:cs="Arial"/>
          <w:b w:val="0"/>
          <w:sz w:val="22"/>
          <w:szCs w:val="22"/>
        </w:rPr>
      </w:pPr>
    </w:p>
    <w:p w14:paraId="57BF84E2" w14:textId="77777777" w:rsidR="00833094" w:rsidRPr="0098573C" w:rsidRDefault="00833094" w:rsidP="00833094">
      <w:pPr>
        <w:pStyle w:val="MailingInstructions"/>
        <w:rPr>
          <w:rFonts w:ascii="Arial" w:hAnsi="Arial" w:cs="Arial"/>
          <w:b w:val="0"/>
          <w:sz w:val="22"/>
          <w:szCs w:val="22"/>
        </w:rPr>
      </w:pPr>
      <w:r w:rsidRPr="0098573C">
        <w:rPr>
          <w:rFonts w:ascii="Arial" w:hAnsi="Arial" w:cs="Arial"/>
          <w:b w:val="0"/>
          <w:sz w:val="22"/>
          <w:szCs w:val="22"/>
        </w:rPr>
        <w:t>The Directors</w:t>
      </w:r>
    </w:p>
    <w:p w14:paraId="6959B3A8" w14:textId="77777777" w:rsidR="00833094" w:rsidRPr="0098573C" w:rsidRDefault="00833094" w:rsidP="00833094">
      <w:pPr>
        <w:pStyle w:val="MailingInstructions"/>
        <w:rPr>
          <w:rFonts w:ascii="Arial" w:hAnsi="Arial" w:cs="Arial"/>
          <w:b w:val="0"/>
          <w:sz w:val="22"/>
          <w:szCs w:val="22"/>
        </w:rPr>
      </w:pPr>
      <w:bookmarkStart w:id="0" w:name="NameOfInsurer2"/>
      <w:r w:rsidRPr="0098573C">
        <w:rPr>
          <w:rFonts w:ascii="Arial" w:hAnsi="Arial" w:cs="Arial"/>
          <w:b w:val="0"/>
          <w:sz w:val="22"/>
          <w:szCs w:val="22"/>
        </w:rPr>
        <w:t>[Insurer name]</w:t>
      </w:r>
      <w:bookmarkEnd w:id="0"/>
    </w:p>
    <w:p w14:paraId="4A992431" w14:textId="587A51E1" w:rsidR="00833094" w:rsidRPr="0098573C" w:rsidRDefault="00833094" w:rsidP="00833094">
      <w:pPr>
        <w:pStyle w:val="MailingInstructions"/>
        <w:rPr>
          <w:rFonts w:ascii="Arial" w:hAnsi="Arial" w:cs="Arial"/>
          <w:b w:val="0"/>
          <w:sz w:val="22"/>
          <w:szCs w:val="22"/>
        </w:rPr>
      </w:pPr>
      <w:r w:rsidRPr="0098573C">
        <w:rPr>
          <w:rFonts w:ascii="Arial" w:hAnsi="Arial" w:cs="Arial"/>
          <w:b w:val="0"/>
          <w:sz w:val="22"/>
          <w:szCs w:val="22"/>
        </w:rPr>
        <w:t>[Insurer address]</w:t>
      </w:r>
    </w:p>
    <w:p w14:paraId="67A40E29" w14:textId="77777777" w:rsidR="0098573C" w:rsidRPr="0098573C" w:rsidRDefault="0098573C" w:rsidP="00833094">
      <w:pPr>
        <w:pStyle w:val="MailingInstructions"/>
        <w:rPr>
          <w:rFonts w:ascii="Arial" w:hAnsi="Arial" w:cs="Arial"/>
          <w:b w:val="0"/>
          <w:sz w:val="22"/>
          <w:szCs w:val="22"/>
        </w:rPr>
      </w:pPr>
    </w:p>
    <w:p w14:paraId="700E4C75" w14:textId="5006A0EC" w:rsidR="00833094" w:rsidRPr="0098573C" w:rsidRDefault="00833094" w:rsidP="00833094">
      <w:pPr>
        <w:pStyle w:val="BodySingle"/>
        <w:rPr>
          <w:rFonts w:ascii="Arial" w:hAnsi="Arial" w:cs="Arial"/>
          <w:sz w:val="22"/>
          <w:szCs w:val="22"/>
          <w:lang w:val="en-AU"/>
        </w:rPr>
      </w:pPr>
      <w:r w:rsidRPr="0098573C">
        <w:rPr>
          <w:rFonts w:ascii="Arial" w:hAnsi="Arial" w:cs="Arial"/>
          <w:sz w:val="22"/>
          <w:szCs w:val="22"/>
          <w:lang w:val="en-AU"/>
        </w:rPr>
        <w:t>Australian Prudential Regulation Authority (APRA)</w:t>
      </w:r>
    </w:p>
    <w:p w14:paraId="4AB4B9C9" w14:textId="77777777" w:rsidR="00687BEC" w:rsidRPr="0098573C" w:rsidRDefault="00687BEC" w:rsidP="00687BEC">
      <w:pPr>
        <w:pStyle w:val="BodySingle"/>
        <w:rPr>
          <w:rFonts w:ascii="Arial" w:hAnsi="Arial" w:cs="Arial"/>
          <w:sz w:val="22"/>
          <w:szCs w:val="22"/>
          <w:lang w:val="en-AU"/>
        </w:rPr>
      </w:pPr>
      <w:r w:rsidRPr="0098573C">
        <w:rPr>
          <w:rFonts w:ascii="Arial" w:hAnsi="Arial" w:cs="Arial"/>
          <w:sz w:val="22"/>
          <w:szCs w:val="22"/>
          <w:lang w:val="en-AU"/>
        </w:rPr>
        <w:t>1 Martin Place [Level 12]</w:t>
      </w:r>
    </w:p>
    <w:p w14:paraId="6F980A7B" w14:textId="124838BA" w:rsidR="00833094" w:rsidRPr="0098573C" w:rsidRDefault="00687BEC" w:rsidP="00687BEC">
      <w:pPr>
        <w:pStyle w:val="MailingInstructions"/>
        <w:rPr>
          <w:rFonts w:ascii="Arial" w:hAnsi="Arial" w:cs="Arial"/>
          <w:b w:val="0"/>
          <w:sz w:val="22"/>
          <w:szCs w:val="22"/>
          <w:lang w:val="en-AU"/>
        </w:rPr>
      </w:pPr>
      <w:r w:rsidRPr="0098573C">
        <w:rPr>
          <w:rFonts w:ascii="Arial" w:hAnsi="Arial" w:cs="Arial"/>
          <w:b w:val="0"/>
          <w:sz w:val="22"/>
          <w:szCs w:val="22"/>
          <w:lang w:val="en-AU"/>
        </w:rPr>
        <w:t>Sydney, NSW 2000</w:t>
      </w:r>
    </w:p>
    <w:p w14:paraId="36D6F2C4" w14:textId="77777777" w:rsidR="00833094" w:rsidRPr="0098573C" w:rsidRDefault="00833094" w:rsidP="00833094">
      <w:pPr>
        <w:pStyle w:val="BodySingle"/>
        <w:rPr>
          <w:rFonts w:ascii="Arial" w:hAnsi="Arial" w:cs="Arial"/>
          <w:sz w:val="22"/>
          <w:szCs w:val="22"/>
        </w:rPr>
      </w:pPr>
    </w:p>
    <w:p w14:paraId="4A2E1656" w14:textId="2C8EC2A6" w:rsidR="0098573C" w:rsidRPr="0098573C" w:rsidRDefault="00833094" w:rsidP="0098573C">
      <w:pPr>
        <w:pStyle w:val="Heading2"/>
      </w:pPr>
      <w:r w:rsidRPr="0098573C">
        <w:t>Independent auditor</w:t>
      </w:r>
      <w:r w:rsidR="003A51C9" w:rsidRPr="0098573C">
        <w:t>’</w:t>
      </w:r>
      <w:r w:rsidRPr="0098573C">
        <w:t xml:space="preserve">s report on the HRF 602.0 Annual Return of </w:t>
      </w:r>
      <w:bookmarkStart w:id="1" w:name="NameOfInsurer"/>
      <w:r w:rsidRPr="0098573C">
        <w:t>[name of Insurer]</w:t>
      </w:r>
      <w:bookmarkEnd w:id="1"/>
      <w:r w:rsidR="0098573C">
        <w:br/>
      </w:r>
    </w:p>
    <w:p w14:paraId="3D1B606A" w14:textId="4FCEFA50" w:rsidR="00833094" w:rsidRPr="0098573C" w:rsidRDefault="00833094" w:rsidP="001A65B2">
      <w:pPr>
        <w:jc w:val="both"/>
        <w:rPr>
          <w:rFonts w:ascii="Arial" w:hAnsi="Arial" w:cs="Arial"/>
          <w:sz w:val="22"/>
          <w:szCs w:val="22"/>
        </w:rPr>
      </w:pPr>
      <w:r w:rsidRPr="0098573C">
        <w:rPr>
          <w:rFonts w:ascii="Arial" w:hAnsi="Arial" w:cs="Arial"/>
          <w:sz w:val="22"/>
          <w:szCs w:val="22"/>
        </w:rPr>
        <w:t xml:space="preserve">We have performed </w:t>
      </w:r>
      <w:r w:rsidR="002E4FC3" w:rsidRPr="0098573C">
        <w:rPr>
          <w:rFonts w:ascii="Arial" w:hAnsi="Arial" w:cs="Arial"/>
          <w:sz w:val="22"/>
          <w:szCs w:val="22"/>
        </w:rPr>
        <w:t>reasonable and limited assurance engagements</w:t>
      </w:r>
      <w:r w:rsidRPr="0098573C">
        <w:rPr>
          <w:rFonts w:ascii="Arial" w:hAnsi="Arial" w:cs="Arial"/>
          <w:sz w:val="22"/>
          <w:szCs w:val="22"/>
        </w:rPr>
        <w:t xml:space="preserve"> as applicable, pursuant to the reporting requirements specified in APRA Prudential Standard HPS 310 </w:t>
      </w:r>
      <w:r w:rsidRPr="0098573C">
        <w:rPr>
          <w:rStyle w:val="Italic"/>
          <w:rFonts w:ascii="Arial" w:hAnsi="Arial" w:cs="Arial"/>
          <w:sz w:val="22"/>
          <w:szCs w:val="22"/>
        </w:rPr>
        <w:t xml:space="preserve">Audit and Related Matters </w:t>
      </w:r>
      <w:r w:rsidRPr="0098573C">
        <w:rPr>
          <w:rFonts w:ascii="Arial" w:hAnsi="Arial" w:cs="Arial"/>
          <w:sz w:val="22"/>
          <w:szCs w:val="22"/>
        </w:rPr>
        <w:t>(HPS 310) for [name of Insurer] (the Insurer).</w:t>
      </w:r>
    </w:p>
    <w:p w14:paraId="5E4E8AE3" w14:textId="77777777" w:rsidR="00833094" w:rsidRPr="0098573C" w:rsidRDefault="00833094" w:rsidP="001A65B2">
      <w:pPr>
        <w:jc w:val="both"/>
        <w:rPr>
          <w:rFonts w:ascii="Arial" w:hAnsi="Arial" w:cs="Arial"/>
          <w:sz w:val="22"/>
          <w:szCs w:val="22"/>
        </w:rPr>
      </w:pPr>
      <w:r w:rsidRPr="0098573C">
        <w:rPr>
          <w:rFonts w:ascii="Arial" w:hAnsi="Arial" w:cs="Arial"/>
          <w:sz w:val="22"/>
          <w:szCs w:val="22"/>
        </w:rPr>
        <w:lastRenderedPageBreak/>
        <w:t xml:space="preserve">HPS 310 requires an insurer to appoint an auditor to undertake an annual assurance engagement, as set out in that Prudential Standard. The responsibilities and reporting requirements arising from this appointment have been outlined in our letter of engagement dated </w:t>
      </w:r>
      <w:r w:rsidRPr="0098573C">
        <w:rPr>
          <w:rFonts w:ascii="Arial" w:hAnsi="Arial" w:cs="Arial"/>
          <w:sz w:val="22"/>
          <w:szCs w:val="22"/>
          <w:lang w:val="en-US"/>
        </w:rPr>
        <w:fldChar w:fldCharType="begin"/>
      </w:r>
      <w:r w:rsidRPr="0098573C">
        <w:rPr>
          <w:rFonts w:ascii="Arial" w:hAnsi="Arial" w:cs="Arial"/>
          <w:sz w:val="22"/>
          <w:szCs w:val="22"/>
          <w:lang w:val="en-US"/>
        </w:rPr>
        <w:instrText xml:space="preserve"> DOCPROPERTY  EngagementDate  \* MERGEFORMAT </w:instrText>
      </w:r>
      <w:r w:rsidRPr="0098573C">
        <w:rPr>
          <w:rFonts w:ascii="Arial" w:hAnsi="Arial" w:cs="Arial"/>
          <w:sz w:val="22"/>
          <w:szCs w:val="22"/>
          <w:lang w:val="en-US"/>
        </w:rPr>
        <w:fldChar w:fldCharType="separate"/>
      </w:r>
      <w:r w:rsidRPr="0098573C">
        <w:rPr>
          <w:rFonts w:ascii="Arial" w:hAnsi="Arial" w:cs="Arial"/>
          <w:sz w:val="22"/>
          <w:szCs w:val="22"/>
          <w:lang w:val="en-US"/>
        </w:rPr>
        <w:t>[insert date of engagement]</w:t>
      </w:r>
      <w:r w:rsidRPr="0098573C">
        <w:rPr>
          <w:rFonts w:ascii="Arial" w:hAnsi="Arial" w:cs="Arial"/>
          <w:sz w:val="22"/>
          <w:szCs w:val="22"/>
          <w:lang w:val="en-US"/>
        </w:rPr>
        <w:fldChar w:fldCharType="end"/>
      </w:r>
      <w:r w:rsidRPr="0098573C">
        <w:rPr>
          <w:rFonts w:ascii="Arial" w:hAnsi="Arial" w:cs="Arial"/>
          <w:sz w:val="22"/>
          <w:szCs w:val="22"/>
        </w:rPr>
        <w:t>.</w:t>
      </w:r>
    </w:p>
    <w:p w14:paraId="06331224" w14:textId="518FEA8F" w:rsidR="00833094" w:rsidRPr="0098573C" w:rsidRDefault="00833094" w:rsidP="001A65B2">
      <w:pPr>
        <w:jc w:val="both"/>
        <w:rPr>
          <w:rFonts w:ascii="Arial" w:hAnsi="Arial" w:cs="Arial"/>
          <w:sz w:val="22"/>
          <w:szCs w:val="22"/>
        </w:rPr>
      </w:pPr>
      <w:r w:rsidRPr="0098573C">
        <w:rPr>
          <w:rFonts w:ascii="Arial" w:hAnsi="Arial" w:cs="Arial"/>
          <w:sz w:val="22"/>
          <w:szCs w:val="22"/>
        </w:rPr>
        <w:t xml:space="preserve">Our independent auditor’s report on the financial report of the Insurer for the year ended </w:t>
      </w:r>
      <w:r w:rsidRPr="0098573C">
        <w:rPr>
          <w:rFonts w:ascii="Arial" w:hAnsi="Arial" w:cs="Arial"/>
          <w:sz w:val="22"/>
          <w:szCs w:val="22"/>
          <w:lang w:val="en-US"/>
        </w:rPr>
        <w:t>[insert year end]</w:t>
      </w:r>
      <w:r w:rsidRPr="0098573C">
        <w:rPr>
          <w:rFonts w:ascii="Arial" w:hAnsi="Arial" w:cs="Arial"/>
          <w:sz w:val="22"/>
          <w:szCs w:val="22"/>
        </w:rPr>
        <w:t xml:space="preserve"> was signed on [insert date independent audit</w:t>
      </w:r>
      <w:r w:rsidR="00D5229D" w:rsidRPr="0098573C">
        <w:rPr>
          <w:rFonts w:ascii="Arial" w:hAnsi="Arial" w:cs="Arial"/>
          <w:sz w:val="22"/>
          <w:szCs w:val="22"/>
        </w:rPr>
        <w:t>or’s</w:t>
      </w:r>
      <w:r w:rsidRPr="0098573C">
        <w:rPr>
          <w:rFonts w:ascii="Arial" w:hAnsi="Arial" w:cs="Arial"/>
          <w:sz w:val="22"/>
          <w:szCs w:val="22"/>
        </w:rPr>
        <w:t xml:space="preserve"> report on the financial report w</w:t>
      </w:r>
      <w:r w:rsidR="00D5229D" w:rsidRPr="0098573C">
        <w:rPr>
          <w:rFonts w:ascii="Arial" w:hAnsi="Arial" w:cs="Arial"/>
          <w:sz w:val="22"/>
          <w:szCs w:val="22"/>
        </w:rPr>
        <w:t>as</w:t>
      </w:r>
      <w:r w:rsidRPr="0098573C">
        <w:rPr>
          <w:rFonts w:ascii="Arial" w:hAnsi="Arial" w:cs="Arial"/>
          <w:sz w:val="22"/>
          <w:szCs w:val="22"/>
        </w:rPr>
        <w:t xml:space="preserve"> signed] and </w:t>
      </w:r>
      <w:r w:rsidR="00687BEC" w:rsidRPr="0098573C">
        <w:rPr>
          <w:rFonts w:ascii="Arial" w:hAnsi="Arial" w:cs="Arial"/>
          <w:sz w:val="22"/>
          <w:szCs w:val="22"/>
        </w:rPr>
        <w:t>[</w:t>
      </w:r>
      <w:r w:rsidRPr="0098573C">
        <w:rPr>
          <w:rFonts w:ascii="Arial" w:hAnsi="Arial" w:cs="Arial"/>
          <w:sz w:val="22"/>
          <w:szCs w:val="22"/>
        </w:rPr>
        <w:t>was/was not</w:t>
      </w:r>
      <w:r w:rsidR="00687BEC" w:rsidRPr="0098573C">
        <w:rPr>
          <w:rFonts w:ascii="Arial" w:hAnsi="Arial" w:cs="Arial"/>
          <w:sz w:val="22"/>
          <w:szCs w:val="22"/>
        </w:rPr>
        <w:t>]</w:t>
      </w:r>
      <w:r w:rsidRPr="0098573C">
        <w:rPr>
          <w:rFonts w:ascii="Arial" w:hAnsi="Arial" w:cs="Arial"/>
          <w:sz w:val="22"/>
          <w:szCs w:val="22"/>
        </w:rPr>
        <w:t xml:space="preserve"> subject to modification. As statutory auditor, our work is directed towards obtaining sufficient audit evidence to form an opinion under the </w:t>
      </w:r>
      <w:r w:rsidRPr="0098573C">
        <w:rPr>
          <w:rStyle w:val="Italic"/>
          <w:rFonts w:ascii="Arial" w:hAnsi="Arial" w:cs="Arial"/>
          <w:sz w:val="22"/>
          <w:szCs w:val="22"/>
        </w:rPr>
        <w:t>Corporations Act 2001</w:t>
      </w:r>
      <w:r w:rsidRPr="0098573C">
        <w:rPr>
          <w:rFonts w:ascii="Arial" w:hAnsi="Arial" w:cs="Arial"/>
          <w:sz w:val="22"/>
          <w:szCs w:val="22"/>
        </w:rPr>
        <w:t>. This audit work is not designed to enable us to form an opinion</w:t>
      </w:r>
      <w:r w:rsidR="001D7A1E" w:rsidRPr="0098573C">
        <w:rPr>
          <w:rFonts w:ascii="Arial" w:hAnsi="Arial" w:cs="Arial"/>
          <w:sz w:val="22"/>
          <w:szCs w:val="22"/>
        </w:rPr>
        <w:t>/</w:t>
      </w:r>
      <w:r w:rsidR="00F40638" w:rsidRPr="0098573C">
        <w:rPr>
          <w:rFonts w:ascii="Arial" w:hAnsi="Arial" w:cs="Arial"/>
          <w:sz w:val="22"/>
          <w:szCs w:val="22"/>
        </w:rPr>
        <w:t>express</w:t>
      </w:r>
      <w:r w:rsidR="001D7A1E" w:rsidRPr="0098573C">
        <w:rPr>
          <w:rFonts w:ascii="Arial" w:hAnsi="Arial" w:cs="Arial"/>
          <w:sz w:val="22"/>
          <w:szCs w:val="22"/>
        </w:rPr>
        <w:t xml:space="preserve"> a conclusion</w:t>
      </w:r>
      <w:r w:rsidRPr="0098573C">
        <w:rPr>
          <w:rFonts w:ascii="Arial" w:hAnsi="Arial" w:cs="Arial"/>
          <w:sz w:val="22"/>
          <w:szCs w:val="22"/>
        </w:rPr>
        <w:t xml:space="preserve"> on the matters outlined in HPS 310.</w:t>
      </w:r>
    </w:p>
    <w:p w14:paraId="704BA33A" w14:textId="24D90BE1" w:rsidR="00833094" w:rsidRPr="0098573C" w:rsidRDefault="00833094" w:rsidP="001A65B2">
      <w:pPr>
        <w:pStyle w:val="BodyText"/>
        <w:jc w:val="both"/>
        <w:rPr>
          <w:rFonts w:ascii="Arial" w:hAnsi="Arial" w:cs="Arial"/>
          <w:sz w:val="22"/>
          <w:szCs w:val="22"/>
        </w:rPr>
      </w:pPr>
      <w:r w:rsidRPr="0098573C">
        <w:rPr>
          <w:rFonts w:ascii="Arial" w:hAnsi="Arial" w:cs="Arial"/>
          <w:sz w:val="22"/>
          <w:szCs w:val="22"/>
        </w:rPr>
        <w:t xml:space="preserve">Accordingly we have performed additional procedures in order to form our </w:t>
      </w:r>
      <w:r w:rsidR="002D2404" w:rsidRPr="0098573C">
        <w:rPr>
          <w:rFonts w:ascii="Arial" w:hAnsi="Arial" w:cs="Arial"/>
          <w:sz w:val="22"/>
          <w:szCs w:val="22"/>
        </w:rPr>
        <w:t xml:space="preserve">reasonable assurance </w:t>
      </w:r>
      <w:r w:rsidRPr="0098573C">
        <w:rPr>
          <w:rFonts w:ascii="Arial" w:hAnsi="Arial" w:cs="Arial"/>
          <w:sz w:val="22"/>
          <w:szCs w:val="22"/>
        </w:rPr>
        <w:t xml:space="preserve">opinion and </w:t>
      </w:r>
      <w:r w:rsidR="00023669" w:rsidRPr="0098573C">
        <w:rPr>
          <w:rFonts w:ascii="Arial" w:hAnsi="Arial" w:cs="Arial"/>
          <w:sz w:val="22"/>
          <w:szCs w:val="22"/>
        </w:rPr>
        <w:t xml:space="preserve">limited assurance </w:t>
      </w:r>
      <w:r w:rsidRPr="0098573C">
        <w:rPr>
          <w:rFonts w:ascii="Arial" w:hAnsi="Arial" w:cs="Arial"/>
          <w:sz w:val="22"/>
          <w:szCs w:val="22"/>
        </w:rPr>
        <w:t xml:space="preserve">conclusions, as applicable, pursuant to the reporting requirements specified in HPS 310 for the </w:t>
      </w:r>
      <w:r w:rsidRPr="0098573C">
        <w:rPr>
          <w:rFonts w:ascii="Arial" w:hAnsi="Arial" w:cs="Arial"/>
          <w:sz w:val="22"/>
          <w:szCs w:val="22"/>
          <w:lang w:val="en-US"/>
        </w:rPr>
        <w:t>Insurer</w:t>
      </w:r>
      <w:r w:rsidRPr="0098573C">
        <w:rPr>
          <w:rFonts w:ascii="Arial" w:hAnsi="Arial" w:cs="Arial"/>
          <w:sz w:val="22"/>
          <w:szCs w:val="22"/>
        </w:rPr>
        <w:t>.</w:t>
      </w:r>
    </w:p>
    <w:p w14:paraId="20C1D219" w14:textId="7BCE2E72" w:rsidR="00833094" w:rsidRDefault="00833094" w:rsidP="0098573C">
      <w:pPr>
        <w:pStyle w:val="Heading2"/>
        <w:rPr>
          <w:lang w:val="en-AU"/>
        </w:rPr>
      </w:pPr>
      <w:r w:rsidRPr="0098573C">
        <w:t xml:space="preserve">Part A – Reasonable Assurance on </w:t>
      </w:r>
      <w:r w:rsidRPr="0098573C">
        <w:rPr>
          <w:lang w:val="en-AU"/>
        </w:rPr>
        <w:t xml:space="preserve">Forms HRF 602.3 to </w:t>
      </w:r>
      <w:r w:rsidRPr="0098573C">
        <w:t>HRF</w:t>
      </w:r>
      <w:r w:rsidRPr="0098573C">
        <w:rPr>
          <w:lang w:val="en-AU"/>
        </w:rPr>
        <w:t xml:space="preserve"> 602.9</w:t>
      </w:r>
      <w:r w:rsidR="0098573C">
        <w:rPr>
          <w:lang w:val="en-AU"/>
        </w:rPr>
        <w:br/>
      </w:r>
    </w:p>
    <w:p w14:paraId="46A5BD75" w14:textId="35A9844A" w:rsidR="00833094" w:rsidRPr="0098573C" w:rsidRDefault="00833094" w:rsidP="001A65B2">
      <w:pPr>
        <w:pStyle w:val="BodyText"/>
        <w:jc w:val="both"/>
        <w:rPr>
          <w:rFonts w:ascii="Arial" w:hAnsi="Arial" w:cs="Arial"/>
          <w:sz w:val="22"/>
          <w:szCs w:val="22"/>
        </w:rPr>
      </w:pPr>
      <w:r w:rsidRPr="0098573C">
        <w:rPr>
          <w:rFonts w:ascii="Arial" w:hAnsi="Arial" w:cs="Arial"/>
          <w:sz w:val="22"/>
          <w:szCs w:val="22"/>
        </w:rPr>
        <w:t xml:space="preserve">We have </w:t>
      </w:r>
      <w:r w:rsidR="001644F4" w:rsidRPr="0098573C">
        <w:rPr>
          <w:rFonts w:ascii="Arial" w:hAnsi="Arial" w:cs="Arial"/>
          <w:sz w:val="22"/>
          <w:szCs w:val="22"/>
        </w:rPr>
        <w:t xml:space="preserve">performed a reasonable assurance engagement on </w:t>
      </w:r>
      <w:r w:rsidRPr="0098573C">
        <w:rPr>
          <w:rFonts w:ascii="Arial" w:hAnsi="Arial" w:cs="Arial"/>
          <w:sz w:val="22"/>
          <w:szCs w:val="22"/>
        </w:rPr>
        <w:t>the following forms in the attached HRF 602.0 Financial and Capital Data Annual Return (the Return) for the Insurer, as issued by APRA for the purpose of providing an Annual Return to Parliament for the year ended [insert year end]:</w:t>
      </w:r>
    </w:p>
    <w:p w14:paraId="5F620A11" w14:textId="77777777" w:rsidR="00833094" w:rsidRPr="0098573C" w:rsidRDefault="00833094" w:rsidP="001A65B2">
      <w:pPr>
        <w:pStyle w:val="BodyText"/>
        <w:ind w:firstLine="720"/>
        <w:jc w:val="both"/>
        <w:rPr>
          <w:rFonts w:ascii="Arial" w:hAnsi="Arial" w:cs="Arial"/>
          <w:sz w:val="22"/>
          <w:szCs w:val="22"/>
        </w:rPr>
      </w:pPr>
      <w:r w:rsidRPr="0098573C">
        <w:rPr>
          <w:rFonts w:ascii="Arial" w:hAnsi="Arial" w:cs="Arial"/>
          <w:sz w:val="22"/>
          <w:szCs w:val="22"/>
        </w:rPr>
        <w:t>HRF 602.3 Financial and Capital Data</w:t>
      </w:r>
      <w:r w:rsidRPr="0098573C" w:rsidDel="0050656A">
        <w:rPr>
          <w:rFonts w:ascii="Arial" w:hAnsi="Arial" w:cs="Arial"/>
          <w:sz w:val="22"/>
          <w:szCs w:val="22"/>
        </w:rPr>
        <w:t xml:space="preserve"> </w:t>
      </w:r>
      <w:r w:rsidRPr="0098573C">
        <w:rPr>
          <w:rFonts w:ascii="Arial" w:hAnsi="Arial" w:cs="Arial"/>
          <w:sz w:val="22"/>
          <w:szCs w:val="22"/>
        </w:rPr>
        <w:t>- Revenue</w:t>
      </w:r>
    </w:p>
    <w:p w14:paraId="4F2922D7" w14:textId="77777777" w:rsidR="00833094" w:rsidRPr="0098573C" w:rsidRDefault="00833094" w:rsidP="001A65B2">
      <w:pPr>
        <w:pStyle w:val="BodyText"/>
        <w:ind w:firstLine="720"/>
        <w:jc w:val="both"/>
        <w:rPr>
          <w:rFonts w:ascii="Arial" w:hAnsi="Arial" w:cs="Arial"/>
          <w:sz w:val="22"/>
          <w:szCs w:val="22"/>
        </w:rPr>
      </w:pPr>
      <w:r w:rsidRPr="0098573C">
        <w:rPr>
          <w:rFonts w:ascii="Arial" w:hAnsi="Arial" w:cs="Arial"/>
          <w:sz w:val="22"/>
          <w:szCs w:val="22"/>
        </w:rPr>
        <w:lastRenderedPageBreak/>
        <w:t>HRF 602.4 Financial and Capital Data - Expenses</w:t>
      </w:r>
    </w:p>
    <w:p w14:paraId="782A64D3" w14:textId="77777777" w:rsidR="00833094" w:rsidRPr="0098573C" w:rsidRDefault="00833094" w:rsidP="001A65B2">
      <w:pPr>
        <w:pStyle w:val="BodyText"/>
        <w:ind w:firstLine="720"/>
        <w:jc w:val="both"/>
        <w:rPr>
          <w:rFonts w:ascii="Arial" w:hAnsi="Arial" w:cs="Arial"/>
          <w:sz w:val="22"/>
          <w:szCs w:val="22"/>
        </w:rPr>
      </w:pPr>
      <w:r w:rsidRPr="0098573C">
        <w:rPr>
          <w:rFonts w:ascii="Arial" w:hAnsi="Arial" w:cs="Arial"/>
          <w:sz w:val="22"/>
          <w:szCs w:val="22"/>
        </w:rPr>
        <w:t>HRF 602.5 Financial and Capital Data - Capital Transfers</w:t>
      </w:r>
    </w:p>
    <w:p w14:paraId="0D6AE0E0" w14:textId="77777777" w:rsidR="00833094" w:rsidRPr="0098573C" w:rsidRDefault="00833094" w:rsidP="001A65B2">
      <w:pPr>
        <w:pStyle w:val="BodyText"/>
        <w:ind w:firstLine="720"/>
        <w:jc w:val="both"/>
        <w:rPr>
          <w:rFonts w:ascii="Arial" w:hAnsi="Arial" w:cs="Arial"/>
          <w:sz w:val="22"/>
          <w:szCs w:val="22"/>
        </w:rPr>
      </w:pPr>
      <w:r w:rsidRPr="0098573C">
        <w:rPr>
          <w:rFonts w:ascii="Arial" w:hAnsi="Arial" w:cs="Arial"/>
          <w:sz w:val="22"/>
          <w:szCs w:val="22"/>
        </w:rPr>
        <w:t>HRF 602.6 Financial and Capital Data - Assets</w:t>
      </w:r>
    </w:p>
    <w:p w14:paraId="5841AC58" w14:textId="77777777" w:rsidR="00833094" w:rsidRPr="0098573C" w:rsidRDefault="00833094" w:rsidP="001A65B2">
      <w:pPr>
        <w:pStyle w:val="BodyText"/>
        <w:ind w:firstLine="720"/>
        <w:jc w:val="both"/>
        <w:rPr>
          <w:rFonts w:ascii="Arial" w:hAnsi="Arial" w:cs="Arial"/>
          <w:sz w:val="22"/>
          <w:szCs w:val="22"/>
        </w:rPr>
      </w:pPr>
      <w:r w:rsidRPr="0098573C">
        <w:rPr>
          <w:rFonts w:ascii="Arial" w:hAnsi="Arial" w:cs="Arial"/>
          <w:sz w:val="22"/>
          <w:szCs w:val="22"/>
        </w:rPr>
        <w:t>HRF 602.7 Financial and Capital Data - Liabilities</w:t>
      </w:r>
    </w:p>
    <w:p w14:paraId="6A7D83EF" w14:textId="77777777" w:rsidR="00833094" w:rsidRPr="0098573C" w:rsidRDefault="00833094" w:rsidP="001A65B2">
      <w:pPr>
        <w:pStyle w:val="BodyText"/>
        <w:ind w:firstLine="720"/>
        <w:jc w:val="both"/>
        <w:rPr>
          <w:rFonts w:ascii="Arial" w:hAnsi="Arial" w:cs="Arial"/>
          <w:sz w:val="22"/>
          <w:szCs w:val="22"/>
        </w:rPr>
      </w:pPr>
      <w:r w:rsidRPr="0098573C">
        <w:rPr>
          <w:rFonts w:ascii="Arial" w:hAnsi="Arial" w:cs="Arial"/>
          <w:sz w:val="22"/>
          <w:szCs w:val="22"/>
        </w:rPr>
        <w:t>HRF 602.8 Financial and Capital Data - Related Party Disclosures</w:t>
      </w:r>
    </w:p>
    <w:p w14:paraId="6C3B4B1A" w14:textId="6E523139" w:rsidR="00833094" w:rsidRPr="0098573C" w:rsidRDefault="00833094" w:rsidP="001A65B2">
      <w:pPr>
        <w:pStyle w:val="BodyText"/>
        <w:ind w:firstLine="720"/>
        <w:jc w:val="both"/>
        <w:rPr>
          <w:rFonts w:ascii="Arial" w:hAnsi="Arial" w:cs="Arial"/>
          <w:sz w:val="22"/>
          <w:szCs w:val="22"/>
        </w:rPr>
      </w:pPr>
      <w:r w:rsidRPr="0098573C">
        <w:rPr>
          <w:rFonts w:ascii="Arial" w:hAnsi="Arial" w:cs="Arial"/>
          <w:sz w:val="22"/>
          <w:szCs w:val="22"/>
        </w:rPr>
        <w:t>HRF 602.9 Financial and Capital Data – Claims</w:t>
      </w:r>
      <w:r w:rsidR="00DE40D5" w:rsidRPr="0098573C">
        <w:rPr>
          <w:rFonts w:ascii="Arial" w:hAnsi="Arial" w:cs="Arial"/>
          <w:sz w:val="22"/>
          <w:szCs w:val="22"/>
        </w:rPr>
        <w:t xml:space="preserve"> Data</w:t>
      </w:r>
    </w:p>
    <w:p w14:paraId="39BD1823" w14:textId="77777777" w:rsidR="00833094" w:rsidRPr="0098573C" w:rsidRDefault="00833094" w:rsidP="001A65B2">
      <w:pPr>
        <w:pStyle w:val="BodyText"/>
        <w:jc w:val="both"/>
        <w:rPr>
          <w:rFonts w:ascii="Arial" w:hAnsi="Arial" w:cs="Arial"/>
          <w:b/>
          <w:sz w:val="22"/>
          <w:szCs w:val="22"/>
        </w:rPr>
      </w:pPr>
      <w:r w:rsidRPr="0098573C">
        <w:rPr>
          <w:rFonts w:ascii="Arial" w:hAnsi="Arial" w:cs="Arial"/>
          <w:sz w:val="22"/>
          <w:szCs w:val="22"/>
        </w:rPr>
        <w:t xml:space="preserve">These forms are referred to herein as </w:t>
      </w:r>
      <w:r w:rsidRPr="0098573C">
        <w:rPr>
          <w:rFonts w:ascii="Arial" w:hAnsi="Arial" w:cs="Arial"/>
          <w:b/>
          <w:sz w:val="22"/>
          <w:szCs w:val="22"/>
        </w:rPr>
        <w:t>the APRA Reporting Forms</w:t>
      </w:r>
      <w:r w:rsidRPr="0098573C">
        <w:rPr>
          <w:rFonts w:ascii="Arial" w:hAnsi="Arial" w:cs="Arial"/>
          <w:sz w:val="22"/>
          <w:szCs w:val="22"/>
        </w:rPr>
        <w:t>.</w:t>
      </w:r>
    </w:p>
    <w:p w14:paraId="6325B61C" w14:textId="77777777" w:rsidR="004A1140" w:rsidRPr="0098573C" w:rsidRDefault="004A1140" w:rsidP="0098573C">
      <w:pPr>
        <w:pStyle w:val="Heading3"/>
      </w:pPr>
      <w:r w:rsidRPr="0098573C">
        <w:t>Opinion</w:t>
      </w:r>
    </w:p>
    <w:p w14:paraId="38C82D15" w14:textId="77777777" w:rsidR="004A1140" w:rsidRPr="0098573C" w:rsidRDefault="004A1140" w:rsidP="001A65B2">
      <w:pPr>
        <w:pStyle w:val="BodyText"/>
        <w:jc w:val="both"/>
        <w:rPr>
          <w:rFonts w:ascii="Arial" w:hAnsi="Arial" w:cs="Arial"/>
          <w:sz w:val="22"/>
          <w:szCs w:val="22"/>
        </w:rPr>
      </w:pPr>
      <w:r w:rsidRPr="0098573C">
        <w:rPr>
          <w:rFonts w:ascii="Arial" w:hAnsi="Arial" w:cs="Arial"/>
          <w:sz w:val="22"/>
          <w:szCs w:val="22"/>
        </w:rPr>
        <w:t xml:space="preserve">In our opinion, in all material respects, the APRA Reporting Forms </w:t>
      </w:r>
      <w:r w:rsidRPr="0098573C">
        <w:rPr>
          <w:rFonts w:ascii="Arial" w:hAnsi="Arial" w:cs="Arial"/>
          <w:sz w:val="22"/>
          <w:szCs w:val="22"/>
          <w:lang w:val="en-AU"/>
        </w:rPr>
        <w:t>of the Insurer in respect of the year ended [insert year end] have been prepared in accordance with the</w:t>
      </w:r>
      <w:r w:rsidRPr="0098573C">
        <w:rPr>
          <w:rFonts w:ascii="Arial" w:hAnsi="Arial" w:cs="Arial"/>
          <w:i/>
          <w:sz w:val="22"/>
          <w:szCs w:val="22"/>
          <w:lang w:val="en-AU"/>
        </w:rPr>
        <w:t xml:space="preserve"> </w:t>
      </w:r>
      <w:r w:rsidRPr="0098573C">
        <w:rPr>
          <w:rFonts w:ascii="Arial" w:hAnsi="Arial" w:cs="Arial"/>
          <w:sz w:val="22"/>
          <w:szCs w:val="22"/>
          <w:lang w:val="en-AU"/>
        </w:rPr>
        <w:t>Act, the solvency standard, the capital adequacy standard, the reporting standard and the reporting instructions</w:t>
      </w:r>
      <w:r w:rsidRPr="0098573C">
        <w:rPr>
          <w:rFonts w:ascii="Arial" w:hAnsi="Arial" w:cs="Arial"/>
          <w:i/>
          <w:sz w:val="22"/>
          <w:szCs w:val="22"/>
          <w:lang w:val="en-AU"/>
        </w:rPr>
        <w:t xml:space="preserve">. </w:t>
      </w:r>
    </w:p>
    <w:p w14:paraId="2653BB93" w14:textId="45047F02" w:rsidR="00833094" w:rsidRPr="0098573C" w:rsidRDefault="00690360" w:rsidP="0098573C">
      <w:pPr>
        <w:pStyle w:val="Heading3"/>
      </w:pPr>
      <w:r w:rsidRPr="0098573C">
        <w:t>The</w:t>
      </w:r>
      <w:r w:rsidR="00833094" w:rsidRPr="0098573C">
        <w:t xml:space="preserve"> </w:t>
      </w:r>
      <w:r w:rsidRPr="0098573C">
        <w:t>D</w:t>
      </w:r>
      <w:r w:rsidR="00833094" w:rsidRPr="0098573C">
        <w:t>irectors</w:t>
      </w:r>
      <w:r w:rsidRPr="0098573C">
        <w:t>’</w:t>
      </w:r>
      <w:r w:rsidR="008D24FD" w:rsidRPr="0098573C">
        <w:t xml:space="preserve"> </w:t>
      </w:r>
      <w:r w:rsidRPr="0098573C">
        <w:t>responsibilities</w:t>
      </w:r>
    </w:p>
    <w:p w14:paraId="754FCD77" w14:textId="62734D5E" w:rsidR="00833094" w:rsidRPr="0098573C" w:rsidRDefault="008D24FD" w:rsidP="001A65B2">
      <w:pPr>
        <w:pStyle w:val="BodyText"/>
        <w:jc w:val="both"/>
        <w:rPr>
          <w:rFonts w:ascii="Arial" w:hAnsi="Arial" w:cs="Arial"/>
          <w:sz w:val="22"/>
          <w:szCs w:val="22"/>
        </w:rPr>
      </w:pPr>
      <w:r w:rsidRPr="0098573C">
        <w:rPr>
          <w:rFonts w:ascii="Arial" w:hAnsi="Arial" w:cs="Arial"/>
          <w:sz w:val="22"/>
          <w:szCs w:val="22"/>
        </w:rPr>
        <w:t>T</w:t>
      </w:r>
      <w:r w:rsidR="00833094" w:rsidRPr="0098573C">
        <w:rPr>
          <w:rFonts w:ascii="Arial" w:hAnsi="Arial" w:cs="Arial"/>
          <w:sz w:val="22"/>
          <w:szCs w:val="22"/>
        </w:rPr>
        <w:t xml:space="preserve">he directors of the Insurer are responsible for the preparation and fair presentation of the Return and the information contained therein, in accordance with the requirements of the </w:t>
      </w:r>
      <w:r w:rsidR="00833094" w:rsidRPr="0098573C">
        <w:rPr>
          <w:rFonts w:ascii="Arial" w:hAnsi="Arial" w:cs="Arial"/>
          <w:i/>
          <w:sz w:val="22"/>
          <w:szCs w:val="22"/>
        </w:rPr>
        <w:t xml:space="preserve">Private Health Insurance Act 2007 </w:t>
      </w:r>
      <w:r w:rsidR="00833094" w:rsidRPr="0098573C">
        <w:rPr>
          <w:rFonts w:ascii="Arial" w:hAnsi="Arial" w:cs="Arial"/>
          <w:sz w:val="22"/>
          <w:szCs w:val="22"/>
        </w:rPr>
        <w:t xml:space="preserve">(the Act), </w:t>
      </w:r>
      <w:r w:rsidR="00833094" w:rsidRPr="0098573C">
        <w:rPr>
          <w:rFonts w:ascii="Arial" w:hAnsi="Arial" w:cs="Arial"/>
          <w:sz w:val="22"/>
          <w:szCs w:val="22"/>
          <w:lang w:val="en-AU"/>
        </w:rPr>
        <w:t xml:space="preserve">the </w:t>
      </w:r>
      <w:r w:rsidR="00833094" w:rsidRPr="0098573C">
        <w:rPr>
          <w:rFonts w:ascii="Arial" w:hAnsi="Arial" w:cs="Arial"/>
          <w:i/>
          <w:sz w:val="22"/>
          <w:szCs w:val="22"/>
          <w:lang w:val="en-AU"/>
        </w:rPr>
        <w:t>Prudential Standard HPS 100 Solvency Standard</w:t>
      </w:r>
      <w:r w:rsidR="00833094" w:rsidRPr="0098573C">
        <w:rPr>
          <w:rFonts w:ascii="Arial" w:hAnsi="Arial" w:cs="Arial"/>
          <w:sz w:val="22"/>
          <w:szCs w:val="22"/>
          <w:lang w:val="en-AU"/>
        </w:rPr>
        <w:t xml:space="preserve"> (the solvency standard), </w:t>
      </w:r>
      <w:r w:rsidR="00833094" w:rsidRPr="0098573C">
        <w:rPr>
          <w:rFonts w:ascii="Arial" w:hAnsi="Arial" w:cs="Arial"/>
          <w:i/>
          <w:sz w:val="22"/>
          <w:szCs w:val="22"/>
          <w:lang w:val="en-AU"/>
        </w:rPr>
        <w:t>Prudential Standard HPS 110 Capital Adequacy</w:t>
      </w:r>
      <w:r w:rsidR="00833094" w:rsidRPr="0098573C">
        <w:rPr>
          <w:rFonts w:ascii="Arial" w:hAnsi="Arial" w:cs="Arial"/>
          <w:sz w:val="22"/>
          <w:szCs w:val="22"/>
          <w:lang w:val="en-AU"/>
        </w:rPr>
        <w:t xml:space="preserve"> (the cap</w:t>
      </w:r>
      <w:r w:rsidR="00833094" w:rsidRPr="0098573C">
        <w:rPr>
          <w:rFonts w:ascii="Arial" w:hAnsi="Arial" w:cs="Arial"/>
          <w:sz w:val="22"/>
          <w:szCs w:val="22"/>
          <w:lang w:val="en-AU"/>
        </w:rPr>
        <w:lastRenderedPageBreak/>
        <w:t>ital adequacy standard),</w:t>
      </w:r>
      <w:r w:rsidR="00833094" w:rsidRPr="0098573C">
        <w:rPr>
          <w:rFonts w:ascii="Arial" w:hAnsi="Arial" w:cs="Arial"/>
          <w:i/>
          <w:sz w:val="22"/>
          <w:szCs w:val="22"/>
          <w:lang w:val="en-AU"/>
        </w:rPr>
        <w:t xml:space="preserve"> </w:t>
      </w:r>
      <w:r w:rsidR="00833094" w:rsidRPr="0098573C">
        <w:rPr>
          <w:rFonts w:ascii="Arial" w:hAnsi="Arial" w:cs="Arial"/>
          <w:sz w:val="22"/>
          <w:szCs w:val="22"/>
          <w:lang w:val="en-AU"/>
        </w:rPr>
        <w:t xml:space="preserve">the </w:t>
      </w:r>
      <w:r w:rsidR="00833094" w:rsidRPr="0098573C">
        <w:rPr>
          <w:rFonts w:ascii="Arial" w:hAnsi="Arial" w:cs="Arial"/>
          <w:i/>
          <w:sz w:val="22"/>
          <w:szCs w:val="22"/>
          <w:lang w:val="en-AU"/>
        </w:rPr>
        <w:t>Financial Sector (Collection of Data) (reporting standard) determination No. 32 of 2015 -</w:t>
      </w:r>
      <w:r w:rsidR="00833094" w:rsidRPr="0098573C">
        <w:rPr>
          <w:rFonts w:ascii="Arial" w:hAnsi="Arial" w:cs="Arial"/>
          <w:sz w:val="22"/>
          <w:szCs w:val="22"/>
          <w:lang w:val="en-AU"/>
        </w:rPr>
        <w:t xml:space="preserve"> HRS 602.0 Financial and Capital Data (the reporting standard) and the instructions to HRF 602.0</w:t>
      </w:r>
      <w:r w:rsidR="00833094" w:rsidRPr="0098573C">
        <w:rPr>
          <w:rFonts w:ascii="Arial" w:hAnsi="Arial" w:cs="Arial"/>
          <w:i/>
          <w:sz w:val="22"/>
          <w:szCs w:val="22"/>
          <w:lang w:val="en-AU"/>
        </w:rPr>
        <w:t xml:space="preserve"> </w:t>
      </w:r>
      <w:r w:rsidR="00833094" w:rsidRPr="0098573C">
        <w:rPr>
          <w:rFonts w:ascii="Arial" w:hAnsi="Arial" w:cs="Arial"/>
          <w:sz w:val="22"/>
          <w:szCs w:val="22"/>
          <w:lang w:val="en-AU"/>
        </w:rPr>
        <w:t>(the reporting instructions</w:t>
      </w:r>
      <w:r w:rsidR="00833094" w:rsidRPr="0098573C">
        <w:rPr>
          <w:rFonts w:ascii="Arial" w:hAnsi="Arial" w:cs="Arial"/>
          <w:sz w:val="22"/>
          <w:szCs w:val="22"/>
        </w:rPr>
        <w:t xml:space="preserve">). </w:t>
      </w:r>
      <w:r w:rsidRPr="0098573C">
        <w:rPr>
          <w:rFonts w:ascii="Arial" w:hAnsi="Arial" w:cs="Arial"/>
          <w:sz w:val="22"/>
          <w:szCs w:val="22"/>
        </w:rPr>
        <w:t>The directors’ responsibility also includes such internal control as the directors determine is necessary to enable the preparation and fair presentation of the Return that is free from material misstatement, whether due to fraud or error.</w:t>
      </w:r>
    </w:p>
    <w:p w14:paraId="118A50FC" w14:textId="77777777" w:rsidR="00833094" w:rsidRPr="0098573C" w:rsidRDefault="00833094" w:rsidP="0098573C">
      <w:pPr>
        <w:pStyle w:val="Heading3"/>
      </w:pPr>
      <w:bookmarkStart w:id="2" w:name="eXC_Paragraph_12"/>
      <w:r w:rsidRPr="0098573C">
        <w:t>Auditor’s responsibility</w:t>
      </w:r>
      <w:bookmarkEnd w:id="2"/>
    </w:p>
    <w:p w14:paraId="025185AE" w14:textId="304ECF0D" w:rsidR="00833094" w:rsidRPr="0098573C" w:rsidRDefault="00833094" w:rsidP="001A65B2">
      <w:pPr>
        <w:pStyle w:val="BodyText"/>
        <w:jc w:val="both"/>
        <w:rPr>
          <w:rFonts w:ascii="Arial" w:hAnsi="Arial" w:cs="Arial"/>
          <w:sz w:val="22"/>
          <w:szCs w:val="22"/>
        </w:rPr>
      </w:pPr>
      <w:bookmarkStart w:id="3" w:name="eXC_Paragraph_13"/>
      <w:r w:rsidRPr="0098573C">
        <w:rPr>
          <w:rFonts w:ascii="Arial" w:hAnsi="Arial" w:cs="Arial"/>
          <w:sz w:val="22"/>
          <w:szCs w:val="22"/>
        </w:rPr>
        <w:t xml:space="preserve">Our responsibility is to express an opinion on the APRA Reporting Forms based on our audit. We conducted our </w:t>
      </w:r>
      <w:r w:rsidR="001644F4" w:rsidRPr="0098573C">
        <w:rPr>
          <w:rFonts w:ascii="Arial" w:hAnsi="Arial" w:cs="Arial"/>
          <w:sz w:val="22"/>
          <w:szCs w:val="22"/>
        </w:rPr>
        <w:t xml:space="preserve">reasonable assurance engagement </w:t>
      </w:r>
      <w:r w:rsidRPr="0098573C">
        <w:rPr>
          <w:rFonts w:ascii="Arial" w:hAnsi="Arial" w:cs="Arial"/>
          <w:sz w:val="22"/>
          <w:szCs w:val="22"/>
        </w:rPr>
        <w:t xml:space="preserve">in accordance with Australian Auditing Standards and Australian Standards on Assurance Engagements ASAE 3000 </w:t>
      </w:r>
      <w:r w:rsidRPr="0098573C">
        <w:rPr>
          <w:rFonts w:ascii="Arial" w:hAnsi="Arial" w:cs="Arial"/>
          <w:i/>
          <w:sz w:val="22"/>
          <w:szCs w:val="22"/>
        </w:rPr>
        <w:t>Assurance Engagements Other than Audits or Reviews of Historical Financial Information</w:t>
      </w:r>
      <w:r w:rsidRPr="0098573C">
        <w:rPr>
          <w:rFonts w:ascii="Arial" w:hAnsi="Arial" w:cs="Arial"/>
          <w:sz w:val="22"/>
          <w:szCs w:val="22"/>
        </w:rPr>
        <w:t xml:space="preserve">. Those standards require that we comply with relevant ethical requirements relating to </w:t>
      </w:r>
      <w:r w:rsidR="001E45BA" w:rsidRPr="0098573C">
        <w:rPr>
          <w:rFonts w:ascii="Arial" w:hAnsi="Arial" w:cs="Arial"/>
          <w:sz w:val="22"/>
          <w:szCs w:val="22"/>
        </w:rPr>
        <w:t xml:space="preserve">reasonable assurance </w:t>
      </w:r>
      <w:r w:rsidRPr="0098573C">
        <w:rPr>
          <w:rFonts w:ascii="Arial" w:hAnsi="Arial" w:cs="Arial"/>
          <w:sz w:val="22"/>
          <w:szCs w:val="22"/>
        </w:rPr>
        <w:t xml:space="preserve">engagements and plan and perform the </w:t>
      </w:r>
      <w:r w:rsidR="000C02D4" w:rsidRPr="0098573C">
        <w:rPr>
          <w:rFonts w:ascii="Arial" w:hAnsi="Arial" w:cs="Arial"/>
          <w:sz w:val="22"/>
          <w:szCs w:val="22"/>
        </w:rPr>
        <w:t xml:space="preserve">engagement </w:t>
      </w:r>
      <w:r w:rsidRPr="0098573C">
        <w:rPr>
          <w:rFonts w:ascii="Arial" w:hAnsi="Arial" w:cs="Arial"/>
          <w:sz w:val="22"/>
          <w:szCs w:val="22"/>
        </w:rPr>
        <w:t>to obtain reasonable assurance whether, in all material respects, the APRA Reporting Forms have been prepared in accordance with the Act,</w:t>
      </w:r>
      <w:r w:rsidRPr="0098573C">
        <w:rPr>
          <w:rFonts w:ascii="Arial" w:hAnsi="Arial" w:cs="Arial"/>
          <w:sz w:val="22"/>
          <w:szCs w:val="22"/>
          <w:lang w:val="en-AU"/>
        </w:rPr>
        <w:t xml:space="preserve"> the solvency standard, the capital adequacy standard, the reporting standard and the reporting instructions.</w:t>
      </w:r>
    </w:p>
    <w:bookmarkEnd w:id="3"/>
    <w:p w14:paraId="0C82052F" w14:textId="3EED45A7" w:rsidR="00833094" w:rsidRPr="0098573C" w:rsidRDefault="00833094" w:rsidP="001A65B2">
      <w:pPr>
        <w:pStyle w:val="BodyText"/>
        <w:jc w:val="both"/>
        <w:rPr>
          <w:rFonts w:ascii="Arial" w:hAnsi="Arial" w:cs="Arial"/>
          <w:sz w:val="22"/>
          <w:szCs w:val="22"/>
        </w:rPr>
      </w:pPr>
      <w:r w:rsidRPr="0098573C">
        <w:rPr>
          <w:rFonts w:ascii="Arial" w:hAnsi="Arial" w:cs="Arial"/>
          <w:sz w:val="22"/>
          <w:szCs w:val="22"/>
          <w:lang w:val="en-AU"/>
        </w:rPr>
        <w:t xml:space="preserve">Our </w:t>
      </w:r>
      <w:r w:rsidR="000C02D4" w:rsidRPr="0098573C">
        <w:rPr>
          <w:rFonts w:ascii="Arial" w:hAnsi="Arial" w:cs="Arial"/>
          <w:sz w:val="22"/>
          <w:szCs w:val="22"/>
          <w:lang w:val="en-AU"/>
        </w:rPr>
        <w:t xml:space="preserve">reasonable assurance engagement </w:t>
      </w:r>
      <w:r w:rsidRPr="0098573C">
        <w:rPr>
          <w:rFonts w:ascii="Arial" w:hAnsi="Arial" w:cs="Arial"/>
          <w:sz w:val="22"/>
          <w:szCs w:val="22"/>
          <w:lang w:val="en-AU"/>
        </w:rPr>
        <w:t xml:space="preserve">did not involve an analysis of the prudence of business decisions made by those charged with governance. </w:t>
      </w:r>
      <w:r w:rsidRPr="0098573C">
        <w:rPr>
          <w:rFonts w:ascii="Arial" w:hAnsi="Arial" w:cs="Arial"/>
          <w:sz w:val="22"/>
          <w:szCs w:val="22"/>
        </w:rPr>
        <w:t xml:space="preserve">Our </w:t>
      </w:r>
      <w:r w:rsidR="00D91E00" w:rsidRPr="0098573C">
        <w:rPr>
          <w:rFonts w:ascii="Arial" w:hAnsi="Arial" w:cs="Arial"/>
          <w:sz w:val="22"/>
          <w:szCs w:val="22"/>
        </w:rPr>
        <w:t xml:space="preserve">assurance engagement </w:t>
      </w:r>
      <w:r w:rsidRPr="0098573C">
        <w:rPr>
          <w:rFonts w:ascii="Arial" w:hAnsi="Arial" w:cs="Arial"/>
          <w:sz w:val="22"/>
          <w:szCs w:val="22"/>
        </w:rPr>
        <w:t xml:space="preserve">involves performing procedures to obtain evidence about the amounts and disclosures in the APRA Reporting Forms. The procedures selected depend on the auditor’s judgement, including the assessment of the risks of material misstatement of the APRA Reporting Forms, </w:t>
      </w:r>
      <w:r w:rsidRPr="0098573C">
        <w:rPr>
          <w:rFonts w:ascii="Arial" w:hAnsi="Arial" w:cs="Arial"/>
          <w:sz w:val="22"/>
          <w:szCs w:val="22"/>
        </w:rPr>
        <w:lastRenderedPageBreak/>
        <w:t xml:space="preserve">whether due to fraud or error. In making those risk assessments, the auditor considers internal control relevant to the Insurer’s preparation and fair presentation of the APRA Reporting Forms in order to design  procedures that are appropriate in the circumstances, but not for the purpose of expressing an opinion on the effectiveness of the Insurer’s internal control. A </w:t>
      </w:r>
      <w:r w:rsidR="00DF4B1A" w:rsidRPr="0098573C">
        <w:rPr>
          <w:rFonts w:ascii="Arial" w:hAnsi="Arial" w:cs="Arial"/>
          <w:sz w:val="22"/>
          <w:szCs w:val="22"/>
        </w:rPr>
        <w:t xml:space="preserve">reasonable assurance engagement </w:t>
      </w:r>
      <w:r w:rsidRPr="0098573C">
        <w:rPr>
          <w:rFonts w:ascii="Arial" w:hAnsi="Arial" w:cs="Arial"/>
          <w:sz w:val="22"/>
          <w:szCs w:val="22"/>
        </w:rPr>
        <w:t xml:space="preserve">also includes evaluating the appropriateness of accounting policies used and the reasonableness of accounting estimates made by management, as well as evaluating the overall presentation of the Return. </w:t>
      </w:r>
    </w:p>
    <w:p w14:paraId="730D8C8D" w14:textId="2758EEA6" w:rsidR="00833094" w:rsidRPr="0098573C" w:rsidRDefault="00833094" w:rsidP="001A65B2">
      <w:pPr>
        <w:pStyle w:val="BodyText"/>
        <w:jc w:val="both"/>
        <w:rPr>
          <w:rFonts w:ascii="Arial" w:hAnsi="Arial" w:cs="Arial"/>
          <w:sz w:val="22"/>
          <w:szCs w:val="22"/>
        </w:rPr>
      </w:pPr>
      <w:r w:rsidRPr="0098573C">
        <w:rPr>
          <w:rFonts w:ascii="Arial" w:hAnsi="Arial" w:cs="Arial"/>
          <w:sz w:val="22"/>
          <w:szCs w:val="22"/>
        </w:rPr>
        <w:t>We believe that the evidence we have obtained is sufficient and appropriate to provide a basis for our opinion.</w:t>
      </w:r>
    </w:p>
    <w:p w14:paraId="69D6020F" w14:textId="77777777" w:rsidR="00833094" w:rsidRPr="0098573C" w:rsidRDefault="00833094" w:rsidP="0098573C">
      <w:pPr>
        <w:pStyle w:val="Heading3"/>
      </w:pPr>
      <w:r w:rsidRPr="0098573C">
        <w:t>Independence</w:t>
      </w:r>
    </w:p>
    <w:p w14:paraId="5219EC50" w14:textId="77777777" w:rsidR="00833094" w:rsidRPr="0098573C" w:rsidRDefault="00833094" w:rsidP="001A65B2">
      <w:pPr>
        <w:pStyle w:val="BodyText"/>
        <w:jc w:val="both"/>
        <w:rPr>
          <w:rFonts w:ascii="Arial" w:hAnsi="Arial" w:cs="Arial"/>
          <w:i/>
          <w:sz w:val="22"/>
          <w:szCs w:val="22"/>
        </w:rPr>
      </w:pPr>
      <w:r w:rsidRPr="0098573C">
        <w:rPr>
          <w:rFonts w:ascii="Arial" w:hAnsi="Arial" w:cs="Arial"/>
          <w:sz w:val="22"/>
          <w:szCs w:val="22"/>
        </w:rPr>
        <w:t>In conducting our audit, we have complied with the independence requirements of the Australian professional accounting bodies.</w:t>
      </w:r>
    </w:p>
    <w:p w14:paraId="32263344" w14:textId="7047B1CA" w:rsidR="00833094" w:rsidRPr="0098573C" w:rsidRDefault="00833094" w:rsidP="0098573C">
      <w:pPr>
        <w:pStyle w:val="Heading2"/>
      </w:pPr>
      <w:r w:rsidRPr="0098573C">
        <w:t xml:space="preserve">Part B (i) – Limited Assurance on </w:t>
      </w:r>
      <w:r w:rsidR="0023539C" w:rsidRPr="0098573C">
        <w:t xml:space="preserve">Reporting </w:t>
      </w:r>
      <w:r w:rsidRPr="0098573C">
        <w:rPr>
          <w:lang w:val="en-AU"/>
        </w:rPr>
        <w:t xml:space="preserve">Forms HRF 602.1 and </w:t>
      </w:r>
      <w:r w:rsidRPr="0098573C">
        <w:t>HRF</w:t>
      </w:r>
      <w:r w:rsidRPr="0098573C">
        <w:rPr>
          <w:lang w:val="en-AU"/>
        </w:rPr>
        <w:t xml:space="preserve"> 602.2</w:t>
      </w:r>
    </w:p>
    <w:p w14:paraId="7E897E0F" w14:textId="127A2A72" w:rsidR="00833094" w:rsidRPr="0098573C" w:rsidRDefault="00833094" w:rsidP="001A65B2">
      <w:pPr>
        <w:pStyle w:val="BodyText"/>
        <w:jc w:val="both"/>
        <w:rPr>
          <w:rFonts w:ascii="Arial" w:hAnsi="Arial" w:cs="Arial"/>
          <w:sz w:val="22"/>
          <w:szCs w:val="22"/>
        </w:rPr>
      </w:pPr>
      <w:r w:rsidRPr="0098573C">
        <w:rPr>
          <w:rFonts w:ascii="Arial" w:hAnsi="Arial" w:cs="Arial"/>
          <w:sz w:val="22"/>
          <w:szCs w:val="22"/>
        </w:rPr>
        <w:t xml:space="preserve">We have </w:t>
      </w:r>
      <w:r w:rsidR="00DE44B3" w:rsidRPr="0098573C">
        <w:rPr>
          <w:rFonts w:ascii="Arial" w:hAnsi="Arial" w:cs="Arial"/>
          <w:sz w:val="22"/>
          <w:szCs w:val="22"/>
        </w:rPr>
        <w:t>conducted a limited assurance engagement</w:t>
      </w:r>
      <w:r w:rsidR="0026441C" w:rsidRPr="0098573C">
        <w:rPr>
          <w:rFonts w:ascii="Arial" w:hAnsi="Arial" w:cs="Arial"/>
          <w:sz w:val="22"/>
          <w:szCs w:val="22"/>
        </w:rPr>
        <w:t xml:space="preserve"> on </w:t>
      </w:r>
      <w:r w:rsidRPr="0098573C">
        <w:rPr>
          <w:rFonts w:ascii="Arial" w:hAnsi="Arial" w:cs="Arial"/>
          <w:sz w:val="22"/>
          <w:szCs w:val="22"/>
        </w:rPr>
        <w:t>the following forms in the attached HRF 602.0 Financial and Capital Data Annual Return (the Return) of the Insurer, as issued by APRA for the purpose of providing an Annual Report to Parliament for the year ended [insert year end]:</w:t>
      </w:r>
    </w:p>
    <w:p w14:paraId="7BB5F4CA" w14:textId="77777777" w:rsidR="00833094" w:rsidRPr="0098573C" w:rsidRDefault="00833094" w:rsidP="001A65B2">
      <w:pPr>
        <w:pStyle w:val="BodyText"/>
        <w:jc w:val="both"/>
        <w:rPr>
          <w:rFonts w:ascii="Arial" w:hAnsi="Arial" w:cs="Arial"/>
          <w:sz w:val="22"/>
          <w:szCs w:val="22"/>
        </w:rPr>
      </w:pPr>
      <w:r w:rsidRPr="0098573C">
        <w:rPr>
          <w:rFonts w:ascii="Arial" w:hAnsi="Arial" w:cs="Arial"/>
          <w:sz w:val="22"/>
          <w:szCs w:val="22"/>
        </w:rPr>
        <w:tab/>
        <w:t>HRF 602.1 Financial and Capital Data – CA Forecasts</w:t>
      </w:r>
    </w:p>
    <w:p w14:paraId="0E7CE697" w14:textId="77777777" w:rsidR="00833094" w:rsidRPr="0098573C" w:rsidRDefault="00833094" w:rsidP="001A65B2">
      <w:pPr>
        <w:pStyle w:val="BodyText"/>
        <w:jc w:val="both"/>
        <w:rPr>
          <w:rFonts w:ascii="Arial" w:hAnsi="Arial" w:cs="Arial"/>
          <w:sz w:val="22"/>
          <w:szCs w:val="22"/>
        </w:rPr>
      </w:pPr>
      <w:r w:rsidRPr="0098573C">
        <w:rPr>
          <w:rFonts w:ascii="Arial" w:hAnsi="Arial" w:cs="Arial"/>
          <w:sz w:val="22"/>
          <w:szCs w:val="22"/>
        </w:rPr>
        <w:lastRenderedPageBreak/>
        <w:tab/>
        <w:t>HRF 602.2 Financial and Capital Data</w:t>
      </w:r>
      <w:r w:rsidRPr="0098573C" w:rsidDel="0050656A">
        <w:rPr>
          <w:rFonts w:ascii="Arial" w:hAnsi="Arial" w:cs="Arial"/>
          <w:sz w:val="22"/>
          <w:szCs w:val="22"/>
        </w:rPr>
        <w:t xml:space="preserve"> </w:t>
      </w:r>
      <w:r w:rsidRPr="0098573C">
        <w:rPr>
          <w:rFonts w:ascii="Arial" w:hAnsi="Arial" w:cs="Arial"/>
          <w:sz w:val="22"/>
          <w:szCs w:val="22"/>
        </w:rPr>
        <w:t>– Solvency Forecasts</w:t>
      </w:r>
    </w:p>
    <w:p w14:paraId="68A6F669" w14:textId="77777777" w:rsidR="00833094" w:rsidRPr="0098573C" w:rsidRDefault="00833094" w:rsidP="001A65B2">
      <w:pPr>
        <w:pStyle w:val="BodyText"/>
        <w:jc w:val="both"/>
        <w:rPr>
          <w:rFonts w:ascii="Arial" w:hAnsi="Arial" w:cs="Arial"/>
          <w:sz w:val="22"/>
          <w:szCs w:val="22"/>
        </w:rPr>
      </w:pPr>
      <w:r w:rsidRPr="0098573C">
        <w:rPr>
          <w:rFonts w:ascii="Arial" w:hAnsi="Arial" w:cs="Arial"/>
          <w:sz w:val="22"/>
          <w:szCs w:val="22"/>
        </w:rPr>
        <w:t xml:space="preserve">both referred to herein as </w:t>
      </w:r>
      <w:r w:rsidRPr="0098573C">
        <w:rPr>
          <w:rFonts w:ascii="Arial" w:hAnsi="Arial" w:cs="Arial"/>
          <w:b/>
          <w:sz w:val="22"/>
          <w:szCs w:val="22"/>
        </w:rPr>
        <w:t>the APRA Reporting (Forecast) Forms</w:t>
      </w:r>
      <w:r w:rsidRPr="0098573C">
        <w:rPr>
          <w:rFonts w:ascii="Arial" w:hAnsi="Arial" w:cs="Arial"/>
          <w:sz w:val="22"/>
          <w:szCs w:val="22"/>
        </w:rPr>
        <w:t>.</w:t>
      </w:r>
    </w:p>
    <w:p w14:paraId="684805E4" w14:textId="77777777" w:rsidR="00833094" w:rsidRPr="0098573C" w:rsidRDefault="00833094" w:rsidP="001A65B2">
      <w:pPr>
        <w:pStyle w:val="BodyText"/>
        <w:jc w:val="both"/>
        <w:rPr>
          <w:rFonts w:ascii="Arial" w:hAnsi="Arial" w:cs="Arial"/>
          <w:sz w:val="22"/>
          <w:szCs w:val="22"/>
        </w:rPr>
      </w:pPr>
      <w:r w:rsidRPr="0098573C">
        <w:rPr>
          <w:rFonts w:ascii="Arial" w:hAnsi="Arial" w:cs="Arial"/>
          <w:sz w:val="22"/>
          <w:szCs w:val="22"/>
        </w:rPr>
        <w:t xml:space="preserve">The stated basis of preparation used in the preparation of the APRA Reporting (Forecast) Forms by the Insurer (the responsible party) is </w:t>
      </w:r>
      <w:r w:rsidRPr="0098573C">
        <w:rPr>
          <w:rFonts w:ascii="Arial" w:hAnsi="Arial" w:cs="Arial"/>
          <w:sz w:val="22"/>
          <w:szCs w:val="22"/>
          <w:lang w:val="en-AU"/>
        </w:rPr>
        <w:t>the Act, the solvency standard, the capital adequacy standard, the reporting standard and the reporting instructions.</w:t>
      </w:r>
    </w:p>
    <w:p w14:paraId="2E16DD50" w14:textId="73BB0531" w:rsidR="00833094" w:rsidRPr="0098573C" w:rsidRDefault="00C94E5B" w:rsidP="0098573C">
      <w:pPr>
        <w:pStyle w:val="Heading3"/>
      </w:pPr>
      <w:r w:rsidRPr="0098573C">
        <w:t xml:space="preserve">Directors’ </w:t>
      </w:r>
      <w:r w:rsidR="00833094" w:rsidRPr="0098573C">
        <w:t>Responsibilities</w:t>
      </w:r>
    </w:p>
    <w:p w14:paraId="3E35059A" w14:textId="68C32854" w:rsidR="00833094" w:rsidRPr="0098573C" w:rsidRDefault="00C94E5B" w:rsidP="001A65B2">
      <w:pPr>
        <w:pStyle w:val="BodyText"/>
        <w:jc w:val="both"/>
        <w:rPr>
          <w:rFonts w:ascii="Arial" w:hAnsi="Arial" w:cs="Arial"/>
          <w:sz w:val="22"/>
          <w:szCs w:val="22"/>
        </w:rPr>
      </w:pPr>
      <w:r w:rsidRPr="0098573C">
        <w:rPr>
          <w:rFonts w:ascii="Arial" w:hAnsi="Arial" w:cs="Arial"/>
          <w:sz w:val="22"/>
          <w:szCs w:val="22"/>
        </w:rPr>
        <w:t>T</w:t>
      </w:r>
      <w:r w:rsidR="00833094" w:rsidRPr="0098573C">
        <w:rPr>
          <w:rFonts w:ascii="Arial" w:hAnsi="Arial" w:cs="Arial"/>
          <w:sz w:val="22"/>
          <w:szCs w:val="22"/>
        </w:rPr>
        <w:t xml:space="preserve">he directors of the Insurer are responsible for the preparation and fair presentation of the Return and the information contained therein, including the best estimate assumptions underlying the forecasts, in accordance with the requirements of </w:t>
      </w:r>
      <w:r w:rsidR="00833094" w:rsidRPr="0098573C">
        <w:rPr>
          <w:rFonts w:ascii="Arial" w:hAnsi="Arial" w:cs="Arial"/>
          <w:sz w:val="22"/>
          <w:szCs w:val="22"/>
          <w:lang w:val="en-AU"/>
        </w:rPr>
        <w:t xml:space="preserve">the Act, the solvency standard, the capital adequacy standard, the reporting standard and the reporting instructions. </w:t>
      </w:r>
      <w:r w:rsidR="00833094" w:rsidRPr="0098573C">
        <w:rPr>
          <w:rFonts w:ascii="Arial" w:hAnsi="Arial" w:cs="Arial"/>
          <w:sz w:val="22"/>
          <w:szCs w:val="22"/>
        </w:rPr>
        <w:t>This includes such internal control as management determines is necessary to enable the preparation of forecasts that are free from material misstatement, whether due to fraud or error.</w:t>
      </w:r>
    </w:p>
    <w:p w14:paraId="1324BFFC" w14:textId="41CDB00E" w:rsidR="00833094" w:rsidRPr="0098573C" w:rsidRDefault="00A726E4" w:rsidP="0098573C">
      <w:pPr>
        <w:pStyle w:val="Heading3"/>
      </w:pPr>
      <w:r w:rsidRPr="0098573C">
        <w:t>Auditor’s</w:t>
      </w:r>
      <w:r w:rsidR="00833094" w:rsidRPr="0098573C">
        <w:t xml:space="preserve"> responsibility</w:t>
      </w:r>
    </w:p>
    <w:p w14:paraId="03E5F4A0" w14:textId="77777777" w:rsidR="00833094" w:rsidRPr="0098573C" w:rsidRDefault="00833094" w:rsidP="001A65B2">
      <w:pPr>
        <w:pStyle w:val="BodyText"/>
        <w:jc w:val="both"/>
        <w:rPr>
          <w:rFonts w:ascii="Arial" w:hAnsi="Arial" w:cs="Arial"/>
          <w:sz w:val="22"/>
          <w:szCs w:val="22"/>
        </w:rPr>
      </w:pPr>
      <w:r w:rsidRPr="0098573C">
        <w:rPr>
          <w:rFonts w:ascii="Arial" w:hAnsi="Arial" w:cs="Arial"/>
          <w:sz w:val="22"/>
          <w:szCs w:val="22"/>
        </w:rPr>
        <w:t xml:space="preserve">Our responsibility is to express a limited assurance conclusion on the APRA Reporting (Forecast) Forms, the best estimate assumptions underlying the forecasts, and the reasonableness of the forecasts themselves, based on our work. We have conducted our engagement in accordance with the Standard on Assurance Engagements ASAE 3450 </w:t>
      </w:r>
      <w:r w:rsidRPr="0098573C">
        <w:rPr>
          <w:rFonts w:ascii="Arial" w:hAnsi="Arial" w:cs="Arial"/>
          <w:i/>
          <w:sz w:val="22"/>
          <w:szCs w:val="22"/>
        </w:rPr>
        <w:t>Assurance Engagements involving Corporate Fundraisings and/or Prospective Financial Information.</w:t>
      </w:r>
    </w:p>
    <w:p w14:paraId="27E65BF1" w14:textId="21EEFE5A" w:rsidR="00833094" w:rsidRPr="0098573C" w:rsidRDefault="00833094" w:rsidP="001A65B2">
      <w:pPr>
        <w:pStyle w:val="BodyText"/>
        <w:jc w:val="both"/>
        <w:rPr>
          <w:rFonts w:ascii="Arial" w:hAnsi="Arial" w:cs="Arial"/>
          <w:sz w:val="22"/>
          <w:szCs w:val="22"/>
        </w:rPr>
      </w:pPr>
      <w:r w:rsidRPr="0098573C">
        <w:rPr>
          <w:rFonts w:ascii="Arial" w:hAnsi="Arial" w:cs="Arial"/>
          <w:sz w:val="22"/>
          <w:szCs w:val="22"/>
        </w:rPr>
        <w:lastRenderedPageBreak/>
        <w:t xml:space="preserve">Our limited assurance engagement consisted of making enquiries, primarily of persons responsible for financial and accounting matters, and applying analytical and other review procedures. It is substantially less in scope than a reasonable assurance engagement conducted in accordance with Australian Auditing Standards and consequently does not enable us to obtain reasonable assurance that we would become aware of all significant matters that might be identified in a reasonable assurance engagement. Accordingly, we do not express </w:t>
      </w:r>
      <w:r w:rsidR="00BA05A4" w:rsidRPr="0098573C">
        <w:rPr>
          <w:rFonts w:ascii="Arial" w:hAnsi="Arial" w:cs="Arial"/>
          <w:sz w:val="22"/>
          <w:szCs w:val="22"/>
        </w:rPr>
        <w:t>an audit opinion</w:t>
      </w:r>
      <w:r w:rsidRPr="0098573C">
        <w:rPr>
          <w:rFonts w:ascii="Arial" w:hAnsi="Arial" w:cs="Arial"/>
          <w:sz w:val="22"/>
          <w:szCs w:val="22"/>
        </w:rPr>
        <w:t>.</w:t>
      </w:r>
    </w:p>
    <w:p w14:paraId="4B6200C5" w14:textId="77777777" w:rsidR="00833094" w:rsidRPr="0098573C" w:rsidRDefault="00833094" w:rsidP="0098573C">
      <w:pPr>
        <w:pStyle w:val="Heading3"/>
      </w:pPr>
      <w:r w:rsidRPr="0098573C">
        <w:t>Conclusion</w:t>
      </w:r>
    </w:p>
    <w:p w14:paraId="09C465B4" w14:textId="77777777" w:rsidR="00833094" w:rsidRPr="0098573C" w:rsidRDefault="00833094" w:rsidP="001A65B2">
      <w:pPr>
        <w:pStyle w:val="BodyText"/>
        <w:jc w:val="both"/>
        <w:rPr>
          <w:rFonts w:ascii="Arial" w:hAnsi="Arial" w:cs="Arial"/>
          <w:sz w:val="22"/>
          <w:szCs w:val="22"/>
        </w:rPr>
      </w:pPr>
      <w:r w:rsidRPr="0098573C">
        <w:rPr>
          <w:rFonts w:ascii="Arial" w:hAnsi="Arial" w:cs="Arial"/>
          <w:sz w:val="22"/>
          <w:szCs w:val="22"/>
        </w:rPr>
        <w:t>Based on our limited assurance engagement, which is not a reasonable assurance engagement, nothing has come to our attention which causes us to believe that:</w:t>
      </w:r>
    </w:p>
    <w:p w14:paraId="4E7E5F97" w14:textId="77777777" w:rsidR="00833094" w:rsidRPr="0098573C" w:rsidRDefault="00833094" w:rsidP="001A65B2">
      <w:pPr>
        <w:pStyle w:val="BodyText"/>
        <w:numPr>
          <w:ilvl w:val="0"/>
          <w:numId w:val="41"/>
        </w:numPr>
        <w:jc w:val="both"/>
        <w:rPr>
          <w:rFonts w:ascii="Arial" w:hAnsi="Arial" w:cs="Arial"/>
          <w:sz w:val="22"/>
          <w:szCs w:val="22"/>
        </w:rPr>
      </w:pPr>
      <w:r w:rsidRPr="0098573C">
        <w:rPr>
          <w:rFonts w:ascii="Arial" w:hAnsi="Arial" w:cs="Arial"/>
          <w:sz w:val="22"/>
          <w:szCs w:val="22"/>
        </w:rPr>
        <w:t>management’s best estimate assumptions do not provide reasonable ground</w:t>
      </w:r>
      <w:r w:rsidR="00B17F51" w:rsidRPr="0098573C">
        <w:rPr>
          <w:rFonts w:ascii="Arial" w:hAnsi="Arial" w:cs="Arial"/>
          <w:sz w:val="22"/>
          <w:szCs w:val="22"/>
        </w:rPr>
        <w:t>s</w:t>
      </w:r>
      <w:r w:rsidRPr="0098573C">
        <w:rPr>
          <w:rFonts w:ascii="Arial" w:hAnsi="Arial" w:cs="Arial"/>
          <w:sz w:val="22"/>
          <w:szCs w:val="22"/>
        </w:rPr>
        <w:t xml:space="preserve"> for the preparation of the forecasts contained within the APRA Reporting (Forecast) Forms for the year ended [insert year end]; and</w:t>
      </w:r>
    </w:p>
    <w:p w14:paraId="6125FC58" w14:textId="77777777" w:rsidR="00833094" w:rsidRPr="0098573C" w:rsidRDefault="00833094" w:rsidP="001A65B2">
      <w:pPr>
        <w:pStyle w:val="BodyText"/>
        <w:numPr>
          <w:ilvl w:val="0"/>
          <w:numId w:val="41"/>
        </w:numPr>
        <w:jc w:val="both"/>
        <w:rPr>
          <w:rFonts w:ascii="Arial" w:hAnsi="Arial" w:cs="Arial"/>
          <w:sz w:val="22"/>
          <w:szCs w:val="22"/>
        </w:rPr>
      </w:pPr>
      <w:r w:rsidRPr="0098573C">
        <w:rPr>
          <w:rFonts w:ascii="Arial" w:hAnsi="Arial" w:cs="Arial"/>
          <w:sz w:val="22"/>
          <w:szCs w:val="22"/>
        </w:rPr>
        <w:t>in all material respects, the APRA Reporting (Forecast) Forms:</w:t>
      </w:r>
    </w:p>
    <w:p w14:paraId="094EA9AB" w14:textId="77777777" w:rsidR="00833094" w:rsidRPr="0098573C" w:rsidRDefault="00833094" w:rsidP="001A65B2">
      <w:pPr>
        <w:pStyle w:val="BodyText"/>
        <w:numPr>
          <w:ilvl w:val="1"/>
          <w:numId w:val="41"/>
        </w:numPr>
        <w:jc w:val="both"/>
        <w:rPr>
          <w:rFonts w:ascii="Arial" w:hAnsi="Arial" w:cs="Arial"/>
          <w:sz w:val="22"/>
          <w:szCs w:val="22"/>
        </w:rPr>
      </w:pPr>
      <w:r w:rsidRPr="0098573C">
        <w:rPr>
          <w:rFonts w:ascii="Arial" w:hAnsi="Arial" w:cs="Arial"/>
          <w:sz w:val="22"/>
          <w:szCs w:val="22"/>
        </w:rPr>
        <w:t>are not prepared on the basis of management’s best estimate assumptions; and</w:t>
      </w:r>
    </w:p>
    <w:p w14:paraId="29CFB59A" w14:textId="70B6D293" w:rsidR="00833094" w:rsidRPr="0098573C" w:rsidRDefault="00833094" w:rsidP="001A65B2">
      <w:pPr>
        <w:pStyle w:val="BodyText"/>
        <w:numPr>
          <w:ilvl w:val="1"/>
          <w:numId w:val="41"/>
        </w:numPr>
        <w:jc w:val="both"/>
        <w:rPr>
          <w:rFonts w:ascii="Arial" w:hAnsi="Arial" w:cs="Arial"/>
          <w:sz w:val="22"/>
          <w:szCs w:val="22"/>
        </w:rPr>
      </w:pPr>
      <w:r w:rsidRPr="0098573C">
        <w:rPr>
          <w:rFonts w:ascii="Arial" w:hAnsi="Arial" w:cs="Arial"/>
          <w:sz w:val="22"/>
          <w:szCs w:val="22"/>
        </w:rPr>
        <w:t xml:space="preserve">are not presented fairly in accordance with </w:t>
      </w:r>
      <w:r w:rsidRPr="0098573C">
        <w:rPr>
          <w:rFonts w:ascii="Arial" w:hAnsi="Arial" w:cs="Arial"/>
          <w:sz w:val="22"/>
          <w:szCs w:val="22"/>
          <w:lang w:val="en-AU"/>
        </w:rPr>
        <w:t>the Act, the solvency standard, the capital adequacy standard, the reporting standard and the reporting instructions</w:t>
      </w:r>
      <w:r w:rsidRPr="0098573C">
        <w:rPr>
          <w:rFonts w:ascii="Arial" w:hAnsi="Arial" w:cs="Arial"/>
          <w:sz w:val="22"/>
          <w:szCs w:val="22"/>
        </w:rPr>
        <w:t>; and</w:t>
      </w:r>
    </w:p>
    <w:p w14:paraId="20769C6E" w14:textId="77777777" w:rsidR="00833094" w:rsidRPr="0098573C" w:rsidRDefault="00833094" w:rsidP="001A65B2">
      <w:pPr>
        <w:pStyle w:val="BodyText"/>
        <w:numPr>
          <w:ilvl w:val="0"/>
          <w:numId w:val="41"/>
        </w:numPr>
        <w:jc w:val="both"/>
        <w:rPr>
          <w:rFonts w:ascii="Arial" w:hAnsi="Arial" w:cs="Arial"/>
          <w:sz w:val="22"/>
          <w:szCs w:val="22"/>
        </w:rPr>
      </w:pPr>
      <w:r w:rsidRPr="0098573C">
        <w:rPr>
          <w:rFonts w:ascii="Arial" w:hAnsi="Arial" w:cs="Arial"/>
          <w:sz w:val="22"/>
          <w:szCs w:val="22"/>
        </w:rPr>
        <w:t>the forecasts contained within the APRA Reporting (Forecast) Forms themselves are unreasonable.</w:t>
      </w:r>
    </w:p>
    <w:p w14:paraId="015BE661" w14:textId="77777777" w:rsidR="00833094" w:rsidRPr="0098573C" w:rsidRDefault="00833094" w:rsidP="001A65B2">
      <w:pPr>
        <w:pStyle w:val="BodyText"/>
        <w:jc w:val="both"/>
        <w:rPr>
          <w:rFonts w:ascii="Arial" w:hAnsi="Arial" w:cs="Arial"/>
          <w:sz w:val="22"/>
          <w:szCs w:val="22"/>
        </w:rPr>
      </w:pPr>
      <w:r w:rsidRPr="0098573C">
        <w:rPr>
          <w:rFonts w:ascii="Arial" w:hAnsi="Arial" w:cs="Arial"/>
          <w:sz w:val="22"/>
          <w:szCs w:val="22"/>
        </w:rPr>
        <w:lastRenderedPageBreak/>
        <w:t>The APRA Reporting (Forecast) Forms have been prepared by management and adopted by the directors in order to provide APRA with the data necessary to calculate the stress test amount in the Capital Adequacy Standard and the cash management amount in the Solvency Standard. There is a considerable degree of subjective judgement involved in preparing the forecasts since they relate to events and transactions that have not yet occurred and may not occur. Actual results are likely to be different from the forecast since anticipated events or transactions frequently do not occur as expected and the variation may be material.</w:t>
      </w:r>
    </w:p>
    <w:p w14:paraId="3DA1D67A" w14:textId="30B93D9A" w:rsidR="00833094" w:rsidRPr="0098573C" w:rsidRDefault="00833094" w:rsidP="001A65B2">
      <w:pPr>
        <w:pStyle w:val="BodyText"/>
        <w:jc w:val="both"/>
        <w:rPr>
          <w:rFonts w:ascii="Arial" w:hAnsi="Arial" w:cs="Arial"/>
          <w:sz w:val="22"/>
          <w:szCs w:val="22"/>
        </w:rPr>
      </w:pPr>
      <w:r w:rsidRPr="0098573C">
        <w:rPr>
          <w:rFonts w:ascii="Arial" w:hAnsi="Arial" w:cs="Arial"/>
          <w:sz w:val="22"/>
          <w:szCs w:val="22"/>
        </w:rPr>
        <w:t xml:space="preserve">Management’s best estimate assumptions on which the forecasts are based relate to future events and/or transactions that management expect to occur and actions that management expect to take and are also subject to uncertainties and contingencies, which are often outside the control of the insurer. Evidence may be available to support management’s best estimate assumptions on which the forecasts are based; however such evidence is generally future-oriented and therefore speculative in nature. We are therefore not in a position to obtain the level of assurance necessary to express an </w:t>
      </w:r>
      <w:r w:rsidR="00611811" w:rsidRPr="0098573C">
        <w:rPr>
          <w:rFonts w:ascii="Arial" w:hAnsi="Arial" w:cs="Arial"/>
          <w:sz w:val="22"/>
          <w:szCs w:val="22"/>
        </w:rPr>
        <w:t xml:space="preserve">audit opinion </w:t>
      </w:r>
      <w:r w:rsidRPr="0098573C">
        <w:rPr>
          <w:rFonts w:ascii="Arial" w:hAnsi="Arial" w:cs="Arial"/>
          <w:sz w:val="22"/>
          <w:szCs w:val="22"/>
        </w:rPr>
        <w:t>on those best estimate assumptions, and accordingly provide a lesser level of assurance on the reasonableness of management’s best estimate assumptions. The limited assurance conclusion expressed in this assurance report has been formed on the above basis.</w:t>
      </w:r>
    </w:p>
    <w:p w14:paraId="04ADEBDA" w14:textId="77777777" w:rsidR="00833094" w:rsidRPr="0098573C" w:rsidRDefault="00833094" w:rsidP="001A65B2">
      <w:pPr>
        <w:pStyle w:val="BodyText"/>
        <w:jc w:val="both"/>
        <w:rPr>
          <w:rFonts w:ascii="Arial" w:hAnsi="Arial" w:cs="Arial"/>
          <w:sz w:val="22"/>
          <w:szCs w:val="22"/>
        </w:rPr>
      </w:pPr>
      <w:r w:rsidRPr="0098573C">
        <w:rPr>
          <w:rFonts w:ascii="Arial" w:hAnsi="Arial" w:cs="Arial"/>
          <w:sz w:val="22"/>
          <w:szCs w:val="22"/>
        </w:rPr>
        <w:t xml:space="preserve">The APRA Reporting (Forecast) Forms have been prepared by management for the purpose of fulfilling the reporting requirements of the Insurer under the Act, </w:t>
      </w:r>
      <w:r w:rsidRPr="0098573C">
        <w:rPr>
          <w:rFonts w:ascii="Arial" w:hAnsi="Arial" w:cs="Arial"/>
          <w:sz w:val="22"/>
          <w:szCs w:val="22"/>
          <w:lang w:val="en-AU"/>
        </w:rPr>
        <w:t>the solvency standard, the capital adequacy standard, the reporting standard and the reporting instructions.</w:t>
      </w:r>
      <w:r w:rsidRPr="0098573C">
        <w:rPr>
          <w:rFonts w:ascii="Arial" w:hAnsi="Arial" w:cs="Arial"/>
          <w:sz w:val="22"/>
          <w:szCs w:val="22"/>
        </w:rPr>
        <w:t xml:space="preserve"> We disclaim any assumption of responsibility for any reliance on this report, or on the forecasts to which </w:t>
      </w:r>
      <w:r w:rsidRPr="0098573C">
        <w:rPr>
          <w:rFonts w:ascii="Arial" w:hAnsi="Arial" w:cs="Arial"/>
          <w:sz w:val="22"/>
          <w:szCs w:val="22"/>
        </w:rPr>
        <w:lastRenderedPageBreak/>
        <w:t>they relate, for the purpose other than that for which it was prepared. We assumed, and relied on representations from certain members of management of the Insurer that all material information concerning the prospects and proposed operations of the Insurer has been disclosed to us and the information provided to us for the purpose of our work is true, complete and accurate in all respects. We have no reason to believe that those representations are false.</w:t>
      </w:r>
    </w:p>
    <w:p w14:paraId="1F3DCDDC" w14:textId="4D7CFB83" w:rsidR="00833094" w:rsidRPr="0098573C" w:rsidRDefault="00833094" w:rsidP="0098573C">
      <w:pPr>
        <w:pStyle w:val="Heading2"/>
      </w:pPr>
      <w:r w:rsidRPr="0098573C">
        <w:t xml:space="preserve">Part B (ii) – </w:t>
      </w:r>
      <w:r w:rsidR="002E6EAB" w:rsidRPr="0098573C">
        <w:t>Limited assurance on</w:t>
      </w:r>
      <w:r w:rsidRPr="0098573C">
        <w:t xml:space="preserve"> Internal Controls addressing Compliance with Prudential Requirements and Reliability of Data provided to APRA</w:t>
      </w:r>
    </w:p>
    <w:p w14:paraId="210F2539" w14:textId="77777777" w:rsidR="00833094" w:rsidRPr="0098573C" w:rsidRDefault="00833094" w:rsidP="001A65B2">
      <w:pPr>
        <w:pStyle w:val="Heading3"/>
        <w:jc w:val="both"/>
        <w:rPr>
          <w:rFonts w:ascii="Arial" w:hAnsi="Arial" w:cs="Arial"/>
          <w:sz w:val="22"/>
          <w:szCs w:val="22"/>
        </w:rPr>
      </w:pPr>
    </w:p>
    <w:p w14:paraId="5D13CD4D" w14:textId="77777777" w:rsidR="00833094" w:rsidRPr="0098573C" w:rsidRDefault="00833094" w:rsidP="001A65B2">
      <w:pPr>
        <w:pStyle w:val="BodyText"/>
        <w:jc w:val="both"/>
        <w:rPr>
          <w:rFonts w:ascii="Arial" w:hAnsi="Arial" w:cs="Arial"/>
          <w:sz w:val="22"/>
          <w:szCs w:val="22"/>
        </w:rPr>
      </w:pPr>
      <w:r w:rsidRPr="0098573C">
        <w:rPr>
          <w:rFonts w:ascii="Arial" w:hAnsi="Arial" w:cs="Arial"/>
          <w:sz w:val="22"/>
          <w:szCs w:val="22"/>
        </w:rPr>
        <w:t xml:space="preserve">HPS 310 requires us to perform a review of the controls implemented by the Insurer designed to ensure that the Insurer complies with applicable Prudential Requirements and that reliable data is provided to APRA. </w:t>
      </w:r>
    </w:p>
    <w:p w14:paraId="5BB7FBC1" w14:textId="0B1C8725" w:rsidR="00833094" w:rsidRPr="0098573C" w:rsidRDefault="008E049B" w:rsidP="0098573C">
      <w:pPr>
        <w:pStyle w:val="Heading3"/>
      </w:pPr>
      <w:r w:rsidRPr="0098573C">
        <w:t>M</w:t>
      </w:r>
      <w:r w:rsidR="00833094" w:rsidRPr="0098573C">
        <w:t>anagement</w:t>
      </w:r>
      <w:r w:rsidRPr="0098573C">
        <w:t>’s</w:t>
      </w:r>
      <w:r w:rsidR="00833094" w:rsidRPr="0098573C">
        <w:t xml:space="preserve"> and directors</w:t>
      </w:r>
      <w:r w:rsidRPr="0098573C">
        <w:t>’ responsibilities</w:t>
      </w:r>
      <w:r w:rsidR="00833094" w:rsidRPr="0098573C">
        <w:t xml:space="preserve"> </w:t>
      </w:r>
    </w:p>
    <w:p w14:paraId="3C4213D3" w14:textId="45720738" w:rsidR="00833094" w:rsidRPr="0098573C" w:rsidRDefault="00833094" w:rsidP="001A65B2">
      <w:pPr>
        <w:jc w:val="both"/>
        <w:rPr>
          <w:rFonts w:ascii="Arial" w:hAnsi="Arial" w:cs="Arial"/>
          <w:sz w:val="22"/>
          <w:szCs w:val="22"/>
        </w:rPr>
      </w:pPr>
      <w:r w:rsidRPr="0098573C">
        <w:rPr>
          <w:rFonts w:ascii="Arial" w:eastAsia="Times New Roman" w:hAnsi="Arial" w:cs="Arial"/>
          <w:color w:val="000000"/>
          <w:sz w:val="22"/>
          <w:szCs w:val="22"/>
          <w:lang w:val="en-AU" w:eastAsia="en-AU"/>
        </w:rPr>
        <w:t>In accordance with CPS 220</w:t>
      </w:r>
      <w:r w:rsidR="00636CBE" w:rsidRPr="0098573C">
        <w:rPr>
          <w:rFonts w:ascii="Arial" w:eastAsia="Times New Roman" w:hAnsi="Arial" w:cs="Arial"/>
          <w:color w:val="000000"/>
          <w:sz w:val="22"/>
          <w:szCs w:val="22"/>
          <w:lang w:val="en-AU" w:eastAsia="en-AU"/>
        </w:rPr>
        <w:t xml:space="preserve"> </w:t>
      </w:r>
      <w:r w:rsidR="00636CBE" w:rsidRPr="0098573C">
        <w:rPr>
          <w:rFonts w:ascii="Arial" w:eastAsia="Times New Roman" w:hAnsi="Arial" w:cs="Arial"/>
          <w:i/>
          <w:color w:val="000000"/>
          <w:sz w:val="22"/>
          <w:szCs w:val="22"/>
          <w:lang w:val="en-AU" w:eastAsia="en-AU"/>
        </w:rPr>
        <w:t>Risk Management</w:t>
      </w:r>
      <w:r w:rsidRPr="0098573C">
        <w:rPr>
          <w:rFonts w:ascii="Arial" w:eastAsia="Times New Roman" w:hAnsi="Arial" w:cs="Arial"/>
          <w:color w:val="000000"/>
          <w:sz w:val="22"/>
          <w:szCs w:val="22"/>
          <w:lang w:val="en-AU" w:eastAsia="en-AU"/>
        </w:rPr>
        <w:t>, it is the responsibility of management and the directors to ensure that the</w:t>
      </w:r>
      <w:r w:rsidRPr="0098573C">
        <w:rPr>
          <w:rFonts w:ascii="Arial" w:hAnsi="Arial" w:cs="Arial"/>
          <w:sz w:val="22"/>
          <w:szCs w:val="22"/>
        </w:rPr>
        <w:t xml:space="preserve"> I</w:t>
      </w:r>
      <w:r w:rsidRPr="0098573C">
        <w:rPr>
          <w:rFonts w:ascii="Arial" w:hAnsi="Arial" w:cs="Arial"/>
          <w:sz w:val="22"/>
          <w:szCs w:val="22"/>
          <w:lang w:val="en-US"/>
        </w:rPr>
        <w:t xml:space="preserve">nsurer </w:t>
      </w:r>
      <w:r w:rsidRPr="0098573C">
        <w:rPr>
          <w:rFonts w:ascii="Arial" w:eastAsia="Times New Roman" w:hAnsi="Arial" w:cs="Arial"/>
          <w:color w:val="000000"/>
          <w:sz w:val="22"/>
          <w:szCs w:val="22"/>
          <w:lang w:val="en-AU" w:eastAsia="en-AU"/>
        </w:rPr>
        <w:t>meets prudential and statutory requirements and have management practices to limit risks to prudent levels. In accordance with HPS 310, this responsibility includes:</w:t>
      </w:r>
    </w:p>
    <w:p w14:paraId="4DFF5108" w14:textId="607959A7" w:rsidR="00833094" w:rsidRPr="0098573C" w:rsidRDefault="00833094" w:rsidP="001A65B2">
      <w:pPr>
        <w:pStyle w:val="ListNumber2"/>
        <w:numPr>
          <w:ilvl w:val="1"/>
          <w:numId w:val="42"/>
        </w:numPr>
        <w:tabs>
          <w:tab w:val="num" w:pos="567"/>
        </w:tabs>
        <w:ind w:left="567"/>
        <w:contextualSpacing w:val="0"/>
        <w:jc w:val="both"/>
        <w:rPr>
          <w:rFonts w:ascii="Arial" w:hAnsi="Arial" w:cs="Arial"/>
          <w:sz w:val="22"/>
          <w:szCs w:val="22"/>
        </w:rPr>
      </w:pPr>
      <w:r w:rsidRPr="0098573C">
        <w:rPr>
          <w:rFonts w:ascii="Arial" w:hAnsi="Arial" w:cs="Arial"/>
          <w:sz w:val="22"/>
          <w:szCs w:val="22"/>
        </w:rPr>
        <w:t xml:space="preserve">ensuring the Insurer maintains accounting records </w:t>
      </w:r>
      <w:r w:rsidR="00357857" w:rsidRPr="0098573C">
        <w:rPr>
          <w:rFonts w:ascii="Arial" w:hAnsi="Arial" w:cs="Arial"/>
          <w:sz w:val="22"/>
          <w:szCs w:val="22"/>
        </w:rPr>
        <w:t xml:space="preserve">that </w:t>
      </w:r>
      <w:r w:rsidRPr="0098573C">
        <w:rPr>
          <w:rFonts w:ascii="Arial" w:hAnsi="Arial" w:cs="Arial"/>
          <w:sz w:val="22"/>
          <w:szCs w:val="22"/>
        </w:rPr>
        <w:t xml:space="preserve">at any time disclose with reasonable accuracy the financial position of the Insurer; </w:t>
      </w:r>
    </w:p>
    <w:p w14:paraId="56D46F67" w14:textId="2A7132E3" w:rsidR="00833094" w:rsidRPr="0098573C" w:rsidRDefault="00833094" w:rsidP="001A65B2">
      <w:pPr>
        <w:pStyle w:val="ListNumber2"/>
        <w:numPr>
          <w:ilvl w:val="1"/>
          <w:numId w:val="42"/>
        </w:numPr>
        <w:tabs>
          <w:tab w:val="num" w:pos="567"/>
        </w:tabs>
        <w:ind w:left="567"/>
        <w:contextualSpacing w:val="0"/>
        <w:jc w:val="both"/>
        <w:rPr>
          <w:rFonts w:ascii="Arial" w:hAnsi="Arial" w:cs="Arial"/>
          <w:sz w:val="22"/>
          <w:szCs w:val="22"/>
        </w:rPr>
      </w:pPr>
      <w:r w:rsidRPr="0098573C">
        <w:rPr>
          <w:rFonts w:ascii="Arial" w:hAnsi="Arial" w:cs="Arial"/>
          <w:sz w:val="22"/>
          <w:szCs w:val="22"/>
        </w:rPr>
        <w:lastRenderedPageBreak/>
        <w:t>ensuring the auditors are granted access, on an unrestricted basis, to all of the records, information and exploration we consider necessary in connection with our work;</w:t>
      </w:r>
    </w:p>
    <w:p w14:paraId="2EC2B7E8" w14:textId="53B9F26D" w:rsidR="00833094" w:rsidRPr="0098573C" w:rsidRDefault="00833094" w:rsidP="001A65B2">
      <w:pPr>
        <w:pStyle w:val="ListNumber2"/>
        <w:numPr>
          <w:ilvl w:val="1"/>
          <w:numId w:val="42"/>
        </w:numPr>
        <w:tabs>
          <w:tab w:val="num" w:pos="567"/>
        </w:tabs>
        <w:ind w:left="567"/>
        <w:contextualSpacing w:val="0"/>
        <w:jc w:val="both"/>
        <w:rPr>
          <w:rFonts w:ascii="Arial" w:hAnsi="Arial" w:cs="Arial"/>
          <w:sz w:val="22"/>
          <w:szCs w:val="22"/>
        </w:rPr>
      </w:pPr>
      <w:r w:rsidRPr="0098573C">
        <w:rPr>
          <w:rFonts w:ascii="Arial" w:hAnsi="Arial" w:cs="Arial"/>
          <w:sz w:val="22"/>
          <w:szCs w:val="22"/>
          <w:lang w:val="en-AU" w:eastAsia="en-AU"/>
        </w:rPr>
        <w:t xml:space="preserve"> ensuring the auditors are provided with any other information APRA has provided to the Insurer that may assist the auditor in fulfilling its role</w:t>
      </w:r>
      <w:r w:rsidRPr="0098573C">
        <w:rPr>
          <w:rFonts w:ascii="Arial" w:hAnsi="Arial" w:cs="Arial"/>
          <w:sz w:val="22"/>
          <w:szCs w:val="22"/>
        </w:rPr>
        <w:t>.</w:t>
      </w:r>
    </w:p>
    <w:p w14:paraId="7F1611EC" w14:textId="45D6D0A1" w:rsidR="00833094" w:rsidRPr="0098573C" w:rsidRDefault="00833094" w:rsidP="001A65B2">
      <w:pPr>
        <w:jc w:val="both"/>
        <w:rPr>
          <w:rFonts w:ascii="Arial" w:hAnsi="Arial" w:cs="Arial"/>
          <w:sz w:val="22"/>
          <w:szCs w:val="22"/>
        </w:rPr>
      </w:pPr>
      <w:r w:rsidRPr="0098573C">
        <w:rPr>
          <w:rFonts w:ascii="Arial" w:hAnsi="Arial" w:cs="Arial"/>
          <w:sz w:val="22"/>
          <w:szCs w:val="22"/>
        </w:rPr>
        <w:t>In relation to the Annual Prudential Assurance Report</w:t>
      </w:r>
      <w:r w:rsidR="00221235" w:rsidRPr="0098573C">
        <w:rPr>
          <w:rFonts w:ascii="Arial" w:hAnsi="Arial" w:cs="Arial"/>
          <w:sz w:val="22"/>
          <w:szCs w:val="22"/>
        </w:rPr>
        <w:t>,</w:t>
      </w:r>
      <w:r w:rsidRPr="0098573C">
        <w:rPr>
          <w:rFonts w:ascii="Arial" w:hAnsi="Arial" w:cs="Arial"/>
          <w:sz w:val="22"/>
          <w:szCs w:val="22"/>
        </w:rPr>
        <w:t xml:space="preserve"> the </w:t>
      </w:r>
      <w:r w:rsidR="00DB6ADF" w:rsidRPr="0098573C">
        <w:rPr>
          <w:rFonts w:ascii="Arial" w:hAnsi="Arial" w:cs="Arial"/>
          <w:sz w:val="22"/>
          <w:szCs w:val="22"/>
        </w:rPr>
        <w:t>directors</w:t>
      </w:r>
      <w:r w:rsidRPr="0098573C">
        <w:rPr>
          <w:rFonts w:ascii="Arial" w:hAnsi="Arial" w:cs="Arial"/>
          <w:sz w:val="22"/>
          <w:szCs w:val="22"/>
        </w:rPr>
        <w:t>’ responsibility includes:</w:t>
      </w:r>
    </w:p>
    <w:p w14:paraId="0CBA985A" w14:textId="5D0E9C89" w:rsidR="00833094" w:rsidRPr="0098573C" w:rsidRDefault="00833094" w:rsidP="001A65B2">
      <w:pPr>
        <w:pStyle w:val="HangingIndent1"/>
        <w:jc w:val="both"/>
        <w:rPr>
          <w:rFonts w:ascii="Arial" w:hAnsi="Arial" w:cs="Arial"/>
          <w:sz w:val="22"/>
          <w:szCs w:val="22"/>
        </w:rPr>
      </w:pPr>
      <w:r w:rsidRPr="0098573C">
        <w:rPr>
          <w:rFonts w:ascii="Arial" w:hAnsi="Arial" w:cs="Arial"/>
          <w:sz w:val="22"/>
          <w:szCs w:val="22"/>
        </w:rPr>
        <w:t>(a)</w:t>
      </w:r>
      <w:r w:rsidRPr="0098573C">
        <w:rPr>
          <w:rFonts w:ascii="Arial" w:hAnsi="Arial" w:cs="Arial"/>
          <w:sz w:val="22"/>
          <w:szCs w:val="22"/>
        </w:rPr>
        <w:tab/>
        <w:t>ensuring the information included in the Return at the financial year-end is reliable and in accordance with the relevant APRA Prudential and Reporting Standards;</w:t>
      </w:r>
    </w:p>
    <w:p w14:paraId="6D7373DB" w14:textId="77777777" w:rsidR="00833094" w:rsidRPr="0098573C" w:rsidRDefault="00833094" w:rsidP="001A65B2">
      <w:pPr>
        <w:pStyle w:val="HangingIndent1"/>
        <w:jc w:val="both"/>
        <w:rPr>
          <w:rFonts w:ascii="Arial" w:hAnsi="Arial" w:cs="Arial"/>
          <w:sz w:val="22"/>
          <w:szCs w:val="22"/>
        </w:rPr>
      </w:pPr>
      <w:r w:rsidRPr="0098573C">
        <w:rPr>
          <w:rFonts w:ascii="Arial" w:hAnsi="Arial" w:cs="Arial"/>
          <w:sz w:val="22"/>
          <w:szCs w:val="22"/>
        </w:rPr>
        <w:t>(b)</w:t>
      </w:r>
      <w:r w:rsidRPr="0098573C">
        <w:rPr>
          <w:rFonts w:ascii="Arial" w:hAnsi="Arial" w:cs="Arial"/>
          <w:sz w:val="22"/>
          <w:szCs w:val="22"/>
        </w:rPr>
        <w:tab/>
        <w:t xml:space="preserve">establishing and maintaining internal controls that are designed to ensure: </w:t>
      </w:r>
    </w:p>
    <w:p w14:paraId="01309D7C" w14:textId="177FC321" w:rsidR="00833094" w:rsidRPr="0098573C" w:rsidRDefault="00833094" w:rsidP="001A65B2">
      <w:pPr>
        <w:pStyle w:val="HangingIndent2"/>
        <w:jc w:val="both"/>
        <w:rPr>
          <w:rFonts w:ascii="Arial" w:hAnsi="Arial" w:cs="Arial"/>
          <w:sz w:val="22"/>
          <w:szCs w:val="22"/>
        </w:rPr>
      </w:pPr>
      <w:r w:rsidRPr="0098573C">
        <w:rPr>
          <w:rFonts w:ascii="Arial" w:hAnsi="Arial" w:cs="Arial"/>
          <w:sz w:val="22"/>
          <w:szCs w:val="22"/>
        </w:rPr>
        <w:t>(i)</w:t>
      </w:r>
      <w:r w:rsidRPr="0098573C">
        <w:rPr>
          <w:rFonts w:ascii="Arial" w:hAnsi="Arial" w:cs="Arial"/>
          <w:sz w:val="22"/>
          <w:szCs w:val="22"/>
        </w:rPr>
        <w:tab/>
        <w:t xml:space="preserve">the </w:t>
      </w:r>
      <w:r w:rsidRPr="0098573C">
        <w:rPr>
          <w:rFonts w:ascii="Arial" w:hAnsi="Arial" w:cs="Arial"/>
          <w:sz w:val="22"/>
          <w:szCs w:val="22"/>
          <w:lang w:val="en-US"/>
        </w:rPr>
        <w:t>Insurer</w:t>
      </w:r>
      <w:r w:rsidRPr="0098573C">
        <w:rPr>
          <w:rFonts w:ascii="Arial" w:hAnsi="Arial" w:cs="Arial"/>
          <w:sz w:val="22"/>
          <w:szCs w:val="22"/>
        </w:rPr>
        <w:t xml:space="preserve"> complies with all applicable Prudential Requirements</w:t>
      </w:r>
      <w:r w:rsidR="006D2F5C" w:rsidRPr="0098573C">
        <w:rPr>
          <w:rFonts w:ascii="Arial" w:hAnsi="Arial" w:cs="Arial"/>
          <w:sz w:val="22"/>
          <w:szCs w:val="22"/>
        </w:rPr>
        <w:t>;</w:t>
      </w:r>
    </w:p>
    <w:p w14:paraId="41165A84" w14:textId="710D603E" w:rsidR="00833094" w:rsidRPr="0098573C" w:rsidRDefault="00833094" w:rsidP="001A65B2">
      <w:pPr>
        <w:pStyle w:val="HangingIndent2"/>
        <w:jc w:val="both"/>
        <w:rPr>
          <w:rFonts w:ascii="Arial" w:hAnsi="Arial" w:cs="Arial"/>
          <w:sz w:val="22"/>
          <w:szCs w:val="22"/>
        </w:rPr>
      </w:pPr>
      <w:r w:rsidRPr="0098573C">
        <w:rPr>
          <w:rFonts w:ascii="Arial" w:hAnsi="Arial" w:cs="Arial"/>
          <w:sz w:val="22"/>
          <w:szCs w:val="22"/>
        </w:rPr>
        <w:t>(ii)</w:t>
      </w:r>
      <w:r w:rsidRPr="0098573C">
        <w:rPr>
          <w:rFonts w:ascii="Arial" w:hAnsi="Arial" w:cs="Arial"/>
          <w:sz w:val="22"/>
          <w:szCs w:val="22"/>
        </w:rPr>
        <w:tab/>
        <w:t xml:space="preserve">reliable data is provided to APRA in the Return prepared under the </w:t>
      </w:r>
      <w:r w:rsidRPr="0098573C">
        <w:rPr>
          <w:rStyle w:val="Italic"/>
          <w:rFonts w:ascii="Arial" w:hAnsi="Arial" w:cs="Arial"/>
          <w:sz w:val="22"/>
          <w:szCs w:val="22"/>
        </w:rPr>
        <w:t xml:space="preserve">Financial Sector (Collection of Data) Act 2001 </w:t>
      </w:r>
      <w:r w:rsidRPr="0098573C">
        <w:rPr>
          <w:rFonts w:ascii="Arial" w:hAnsi="Arial" w:cs="Arial"/>
          <w:sz w:val="22"/>
          <w:szCs w:val="22"/>
        </w:rPr>
        <w:t>(FSCODA)</w:t>
      </w:r>
      <w:r w:rsidR="006D2F5C" w:rsidRPr="0098573C">
        <w:rPr>
          <w:rFonts w:ascii="Arial" w:hAnsi="Arial" w:cs="Arial"/>
          <w:sz w:val="22"/>
          <w:szCs w:val="22"/>
        </w:rPr>
        <w:t>; and</w:t>
      </w:r>
    </w:p>
    <w:p w14:paraId="119B43D6" w14:textId="14980AC4" w:rsidR="00833094" w:rsidRPr="0098573C" w:rsidRDefault="00833094" w:rsidP="001A65B2">
      <w:pPr>
        <w:pStyle w:val="HangingIndent2"/>
        <w:jc w:val="both"/>
        <w:rPr>
          <w:rFonts w:ascii="Arial" w:hAnsi="Arial" w:cs="Arial"/>
          <w:sz w:val="22"/>
          <w:szCs w:val="22"/>
        </w:rPr>
      </w:pPr>
      <w:r w:rsidRPr="0098573C">
        <w:rPr>
          <w:rFonts w:ascii="Arial" w:hAnsi="Arial" w:cs="Arial"/>
          <w:sz w:val="22"/>
          <w:szCs w:val="22"/>
        </w:rPr>
        <w:t>(iii)</w:t>
      </w:r>
      <w:r w:rsidRPr="0098573C">
        <w:rPr>
          <w:rFonts w:ascii="Arial" w:hAnsi="Arial" w:cs="Arial"/>
          <w:sz w:val="22"/>
          <w:szCs w:val="22"/>
        </w:rPr>
        <w:tab/>
        <w:t>these controls have operated effectively throughout the financial year</w:t>
      </w:r>
      <w:r w:rsidR="003879FF" w:rsidRPr="0098573C">
        <w:rPr>
          <w:rFonts w:ascii="Arial" w:hAnsi="Arial" w:cs="Arial"/>
          <w:sz w:val="22"/>
          <w:szCs w:val="22"/>
        </w:rPr>
        <w:t>.</w:t>
      </w:r>
      <w:r w:rsidRPr="0098573C">
        <w:rPr>
          <w:rFonts w:ascii="Arial" w:hAnsi="Arial" w:cs="Arial"/>
          <w:sz w:val="22"/>
          <w:szCs w:val="22"/>
        </w:rPr>
        <w:t xml:space="preserve"> </w:t>
      </w:r>
    </w:p>
    <w:p w14:paraId="3F7C84CA" w14:textId="77777777" w:rsidR="007C58E0" w:rsidRPr="0098573C" w:rsidRDefault="007C58E0" w:rsidP="0098573C">
      <w:pPr>
        <w:pStyle w:val="Heading3"/>
      </w:pPr>
      <w:r w:rsidRPr="0098573C">
        <w:t xml:space="preserve">Auditor’s Independence and Quality Control </w:t>
      </w:r>
    </w:p>
    <w:p w14:paraId="2479ED65" w14:textId="77777777" w:rsidR="007C58E0" w:rsidRPr="0098573C" w:rsidRDefault="007C58E0" w:rsidP="001A65B2">
      <w:pPr>
        <w:pStyle w:val="BodyText"/>
        <w:jc w:val="both"/>
        <w:rPr>
          <w:rFonts w:ascii="Arial" w:hAnsi="Arial" w:cs="Arial"/>
          <w:sz w:val="22"/>
          <w:szCs w:val="22"/>
        </w:rPr>
      </w:pPr>
      <w:r w:rsidRPr="0098573C">
        <w:rPr>
          <w:rFonts w:ascii="Arial" w:hAnsi="Arial" w:cs="Arial"/>
          <w:sz w:val="22"/>
          <w:szCs w:val="22"/>
        </w:rPr>
        <w:t xml:space="preserve">We have complied with the independence and other relevant ethical requirements relating to assurance engagements, specified by APRA in Prudential Standard CPS 510 </w:t>
      </w:r>
      <w:r w:rsidRPr="0098573C">
        <w:rPr>
          <w:rFonts w:ascii="Arial" w:hAnsi="Arial" w:cs="Arial"/>
          <w:i/>
          <w:sz w:val="22"/>
          <w:szCs w:val="22"/>
        </w:rPr>
        <w:t>Governance</w:t>
      </w:r>
      <w:r w:rsidRPr="0098573C">
        <w:rPr>
          <w:rFonts w:ascii="Arial" w:hAnsi="Arial" w:cs="Arial"/>
          <w:sz w:val="22"/>
          <w:szCs w:val="22"/>
        </w:rPr>
        <w:t>.</w:t>
      </w:r>
    </w:p>
    <w:p w14:paraId="74950B0A" w14:textId="77777777" w:rsidR="007C58E0" w:rsidRPr="0098573C" w:rsidRDefault="007C58E0" w:rsidP="001A65B2">
      <w:pPr>
        <w:jc w:val="both"/>
        <w:rPr>
          <w:rFonts w:ascii="Arial" w:hAnsi="Arial" w:cs="Arial"/>
          <w:sz w:val="22"/>
          <w:szCs w:val="22"/>
        </w:rPr>
      </w:pPr>
      <w:r w:rsidRPr="0098573C">
        <w:rPr>
          <w:rFonts w:ascii="Arial" w:hAnsi="Arial" w:cs="Arial"/>
          <w:sz w:val="22"/>
          <w:szCs w:val="22"/>
        </w:rPr>
        <w:t xml:space="preserve">The firm applies Auditing Standard ASQC 1 </w:t>
      </w:r>
      <w:r w:rsidRPr="0098573C">
        <w:rPr>
          <w:rFonts w:ascii="Arial" w:hAnsi="Arial" w:cs="Arial"/>
          <w:i/>
          <w:sz w:val="22"/>
          <w:szCs w:val="22"/>
        </w:rPr>
        <w:t>Quality Control for Firms that Perform Audits and Reviews of Financial Reports and Other Financial Information, Other Assurance Engage</w:t>
      </w:r>
      <w:r w:rsidRPr="0098573C">
        <w:rPr>
          <w:rFonts w:ascii="Arial" w:hAnsi="Arial" w:cs="Arial"/>
          <w:i/>
          <w:sz w:val="22"/>
          <w:szCs w:val="22"/>
        </w:rPr>
        <w:lastRenderedPageBreak/>
        <w:t>ments and Related Services Engagements</w:t>
      </w:r>
      <w:r w:rsidRPr="0098573C">
        <w:rPr>
          <w:rFonts w:ascii="Arial" w:hAnsi="Arial" w:cs="Arial"/>
          <w:sz w:val="22"/>
          <w:szCs w:val="22"/>
        </w:rPr>
        <w:t>, and accordingly maintains a comprehensive system of quality control including documented policies and procedures regarding compliance with ethical requirements, professional standards and applicable legal and regulatory requirements.</w:t>
      </w:r>
    </w:p>
    <w:p w14:paraId="0C862B6F" w14:textId="5004394A" w:rsidR="00833094" w:rsidRPr="0098573C" w:rsidRDefault="00213D25" w:rsidP="0098573C">
      <w:pPr>
        <w:pStyle w:val="Heading3"/>
      </w:pPr>
      <w:r w:rsidRPr="0098573C">
        <w:t>Auditor’s</w:t>
      </w:r>
      <w:r w:rsidR="00833094" w:rsidRPr="0098573C">
        <w:t xml:space="preserve"> responsibility</w:t>
      </w:r>
    </w:p>
    <w:p w14:paraId="123CE7C4" w14:textId="1833B084" w:rsidR="00833094" w:rsidRPr="0098573C" w:rsidRDefault="00833094" w:rsidP="001A65B2">
      <w:pPr>
        <w:jc w:val="both"/>
        <w:rPr>
          <w:rFonts w:ascii="Arial" w:hAnsi="Arial" w:cs="Arial"/>
          <w:sz w:val="22"/>
          <w:szCs w:val="22"/>
        </w:rPr>
      </w:pPr>
      <w:r w:rsidRPr="0098573C">
        <w:rPr>
          <w:rFonts w:ascii="Arial" w:hAnsi="Arial" w:cs="Arial"/>
          <w:sz w:val="22"/>
          <w:szCs w:val="22"/>
        </w:rPr>
        <w:t xml:space="preserve">Our responsibility is to perform a </w:t>
      </w:r>
      <w:r w:rsidR="00013D98" w:rsidRPr="0098573C">
        <w:rPr>
          <w:rFonts w:ascii="Arial" w:hAnsi="Arial" w:cs="Arial"/>
          <w:sz w:val="22"/>
          <w:szCs w:val="22"/>
        </w:rPr>
        <w:t xml:space="preserve">limited assurance engagement </w:t>
      </w:r>
      <w:r w:rsidRPr="0098573C">
        <w:rPr>
          <w:rFonts w:ascii="Arial" w:hAnsi="Arial" w:cs="Arial"/>
          <w:sz w:val="22"/>
          <w:szCs w:val="22"/>
        </w:rPr>
        <w:t>and express a conclusion, based on whether anything has come to our attention that causes us to believe that, in all material respects, throughout the period from [date] to [date]:</w:t>
      </w:r>
    </w:p>
    <w:p w14:paraId="459404A6" w14:textId="77777777" w:rsidR="00833094" w:rsidRPr="0098573C" w:rsidRDefault="00833094" w:rsidP="001A65B2">
      <w:pPr>
        <w:pStyle w:val="HangingIndent1"/>
        <w:jc w:val="both"/>
        <w:rPr>
          <w:rFonts w:ascii="Arial" w:hAnsi="Arial" w:cs="Arial"/>
          <w:sz w:val="22"/>
          <w:szCs w:val="22"/>
        </w:rPr>
      </w:pPr>
      <w:r w:rsidRPr="0098573C">
        <w:rPr>
          <w:rFonts w:ascii="Arial" w:hAnsi="Arial" w:cs="Arial"/>
          <w:sz w:val="22"/>
          <w:szCs w:val="22"/>
        </w:rPr>
        <w:t>(a)</w:t>
      </w:r>
      <w:r w:rsidRPr="0098573C">
        <w:rPr>
          <w:rFonts w:ascii="Arial" w:hAnsi="Arial" w:cs="Arial"/>
          <w:sz w:val="22"/>
          <w:szCs w:val="22"/>
        </w:rPr>
        <w:tab/>
        <w:t xml:space="preserve">the </w:t>
      </w:r>
      <w:r w:rsidRPr="0098573C">
        <w:rPr>
          <w:rFonts w:ascii="Arial" w:hAnsi="Arial" w:cs="Arial"/>
          <w:sz w:val="22"/>
          <w:szCs w:val="22"/>
          <w:lang w:val="en-US"/>
        </w:rPr>
        <w:t>Insurer</w:t>
      </w:r>
      <w:r w:rsidRPr="0098573C">
        <w:rPr>
          <w:rFonts w:ascii="Arial" w:hAnsi="Arial" w:cs="Arial"/>
          <w:sz w:val="22"/>
          <w:szCs w:val="22"/>
        </w:rPr>
        <w:t xml:space="preserve"> did not have controls that are designed to ensure: </w:t>
      </w:r>
    </w:p>
    <w:p w14:paraId="5A8321DB" w14:textId="77777777" w:rsidR="00833094" w:rsidRPr="0098573C" w:rsidRDefault="00833094" w:rsidP="001A65B2">
      <w:pPr>
        <w:pStyle w:val="HangingIndent2"/>
        <w:jc w:val="both"/>
        <w:rPr>
          <w:rFonts w:ascii="Arial" w:hAnsi="Arial" w:cs="Arial"/>
          <w:sz w:val="22"/>
          <w:szCs w:val="22"/>
        </w:rPr>
      </w:pPr>
      <w:r w:rsidRPr="0098573C">
        <w:rPr>
          <w:rFonts w:ascii="Arial" w:hAnsi="Arial" w:cs="Arial"/>
          <w:sz w:val="22"/>
          <w:szCs w:val="22"/>
        </w:rPr>
        <w:t>(i)</w:t>
      </w:r>
      <w:r w:rsidRPr="0098573C">
        <w:rPr>
          <w:rFonts w:ascii="Arial" w:hAnsi="Arial" w:cs="Arial"/>
          <w:sz w:val="22"/>
          <w:szCs w:val="22"/>
        </w:rPr>
        <w:tab/>
        <w:t>compliance with all applicable Prudential Requirements</w:t>
      </w:r>
    </w:p>
    <w:p w14:paraId="73B6A852" w14:textId="77777777" w:rsidR="00833094" w:rsidRPr="0098573C" w:rsidRDefault="00833094" w:rsidP="001A65B2">
      <w:pPr>
        <w:pStyle w:val="HangingIndent2"/>
        <w:jc w:val="both"/>
        <w:rPr>
          <w:rFonts w:ascii="Arial" w:hAnsi="Arial" w:cs="Arial"/>
          <w:sz w:val="22"/>
          <w:szCs w:val="22"/>
        </w:rPr>
      </w:pPr>
      <w:r w:rsidRPr="0098573C">
        <w:rPr>
          <w:rFonts w:ascii="Arial" w:hAnsi="Arial" w:cs="Arial"/>
          <w:sz w:val="22"/>
          <w:szCs w:val="22"/>
        </w:rPr>
        <w:t>(ii)</w:t>
      </w:r>
      <w:r w:rsidRPr="0098573C">
        <w:rPr>
          <w:rFonts w:ascii="Arial" w:hAnsi="Arial" w:cs="Arial"/>
          <w:sz w:val="22"/>
          <w:szCs w:val="22"/>
        </w:rPr>
        <w:tab/>
        <w:t xml:space="preserve">reliable data is provided to APRA in the Return prepared under the FSCODA, and </w:t>
      </w:r>
    </w:p>
    <w:p w14:paraId="416442DB" w14:textId="77777777" w:rsidR="00833094" w:rsidRPr="0098573C" w:rsidRDefault="00833094" w:rsidP="001A65B2">
      <w:pPr>
        <w:pStyle w:val="HangingIndent1"/>
        <w:jc w:val="both"/>
        <w:rPr>
          <w:rFonts w:ascii="Arial" w:hAnsi="Arial" w:cs="Arial"/>
          <w:sz w:val="22"/>
          <w:szCs w:val="22"/>
        </w:rPr>
      </w:pPr>
      <w:r w:rsidRPr="0098573C">
        <w:rPr>
          <w:rFonts w:ascii="Arial" w:hAnsi="Arial" w:cs="Arial"/>
          <w:sz w:val="22"/>
          <w:szCs w:val="22"/>
        </w:rPr>
        <w:t>(b)</w:t>
      </w:r>
      <w:r w:rsidRPr="0098573C">
        <w:rPr>
          <w:rFonts w:ascii="Arial" w:hAnsi="Arial" w:cs="Arial"/>
          <w:sz w:val="22"/>
          <w:szCs w:val="22"/>
        </w:rPr>
        <w:tab/>
        <w:t xml:space="preserve">these controls have not operated effectively. </w:t>
      </w:r>
    </w:p>
    <w:p w14:paraId="3E65A925" w14:textId="120777F2" w:rsidR="00833094" w:rsidRPr="0098573C" w:rsidRDefault="00833094" w:rsidP="001A65B2">
      <w:pPr>
        <w:jc w:val="both"/>
        <w:rPr>
          <w:rFonts w:ascii="Arial" w:hAnsi="Arial" w:cs="Arial"/>
          <w:sz w:val="22"/>
          <w:szCs w:val="22"/>
        </w:rPr>
      </w:pPr>
      <w:r w:rsidRPr="0098573C">
        <w:rPr>
          <w:rFonts w:ascii="Arial" w:hAnsi="Arial" w:cs="Arial"/>
          <w:sz w:val="22"/>
          <w:szCs w:val="22"/>
        </w:rPr>
        <w:t xml:space="preserve">We have conducted our </w:t>
      </w:r>
      <w:r w:rsidR="00013D98" w:rsidRPr="0098573C">
        <w:rPr>
          <w:rFonts w:ascii="Arial" w:hAnsi="Arial" w:cs="Arial"/>
          <w:sz w:val="22"/>
          <w:szCs w:val="22"/>
        </w:rPr>
        <w:t xml:space="preserve">limited assurance engagement </w:t>
      </w:r>
      <w:r w:rsidRPr="0098573C">
        <w:rPr>
          <w:rFonts w:ascii="Arial" w:hAnsi="Arial" w:cs="Arial"/>
          <w:sz w:val="22"/>
          <w:szCs w:val="22"/>
        </w:rPr>
        <w:t xml:space="preserve">in accordance with applicable Standards on Assurance Engagements ASAE 3150 </w:t>
      </w:r>
      <w:r w:rsidRPr="0098573C">
        <w:rPr>
          <w:rStyle w:val="Italic"/>
          <w:rFonts w:ascii="Arial" w:hAnsi="Arial" w:cs="Arial"/>
          <w:sz w:val="22"/>
          <w:szCs w:val="22"/>
        </w:rPr>
        <w:t xml:space="preserve">Assurance Engagements on Controls (ASAE 3150). ASAE 3150 requires </w:t>
      </w:r>
      <w:r w:rsidRPr="0098573C">
        <w:rPr>
          <w:rFonts w:ascii="Arial" w:hAnsi="Arial" w:cs="Arial"/>
          <w:sz w:val="22"/>
          <w:szCs w:val="22"/>
        </w:rPr>
        <w:t xml:space="preserve">us to comply with </w:t>
      </w:r>
      <w:r w:rsidR="00013D98" w:rsidRPr="0098573C">
        <w:rPr>
          <w:rFonts w:ascii="Arial" w:hAnsi="Arial" w:cs="Arial"/>
          <w:sz w:val="22"/>
          <w:szCs w:val="22"/>
        </w:rPr>
        <w:t xml:space="preserve">the independence and </w:t>
      </w:r>
      <w:r w:rsidRPr="0098573C">
        <w:rPr>
          <w:rFonts w:ascii="Arial" w:hAnsi="Arial" w:cs="Arial"/>
          <w:sz w:val="22"/>
          <w:szCs w:val="22"/>
        </w:rPr>
        <w:t>relevant ethical requirements relating to assurance engagements.</w:t>
      </w:r>
    </w:p>
    <w:p w14:paraId="5D16C542" w14:textId="43913709" w:rsidR="00833094" w:rsidRPr="0098573C" w:rsidRDefault="00833094" w:rsidP="001A65B2">
      <w:pPr>
        <w:jc w:val="both"/>
        <w:rPr>
          <w:rFonts w:ascii="Arial" w:hAnsi="Arial" w:cs="Arial"/>
          <w:sz w:val="22"/>
          <w:szCs w:val="22"/>
        </w:rPr>
      </w:pPr>
      <w:r w:rsidRPr="0098573C">
        <w:rPr>
          <w:rFonts w:ascii="Arial" w:hAnsi="Arial" w:cs="Arial"/>
          <w:sz w:val="22"/>
          <w:szCs w:val="22"/>
        </w:rPr>
        <w:t xml:space="preserve">A </w:t>
      </w:r>
      <w:r w:rsidR="00013D98" w:rsidRPr="0098573C">
        <w:rPr>
          <w:rFonts w:ascii="Arial" w:hAnsi="Arial" w:cs="Arial"/>
          <w:sz w:val="22"/>
          <w:szCs w:val="22"/>
        </w:rPr>
        <w:t xml:space="preserve">limited assurance engagement </w:t>
      </w:r>
      <w:r w:rsidRPr="0098573C">
        <w:rPr>
          <w:rFonts w:ascii="Arial" w:hAnsi="Arial" w:cs="Arial"/>
          <w:sz w:val="22"/>
          <w:szCs w:val="22"/>
        </w:rPr>
        <w:t xml:space="preserve">in accordance with ASAE 3150 involves performing procedures to obtain evidence about the design, implementation and operating effectiveness of controls. The procedures selected depend on the assurance practitioner’s professional </w:t>
      </w:r>
      <w:r w:rsidRPr="0098573C">
        <w:rPr>
          <w:rFonts w:ascii="Arial" w:hAnsi="Arial" w:cs="Arial"/>
          <w:sz w:val="22"/>
          <w:szCs w:val="22"/>
        </w:rPr>
        <w:lastRenderedPageBreak/>
        <w:t xml:space="preserve">judgement, including assessment of the risks of material deficiencies in the design and/or implementation of the controls or deviation in their operating effectiveness. We will perform procedures primarily consisting of making enquiries of management and others within the </w:t>
      </w:r>
      <w:r w:rsidRPr="0098573C">
        <w:rPr>
          <w:rFonts w:ascii="Arial" w:hAnsi="Arial" w:cs="Arial"/>
          <w:sz w:val="22"/>
          <w:szCs w:val="22"/>
          <w:lang w:val="en-US"/>
        </w:rPr>
        <w:t>Insurer</w:t>
      </w:r>
      <w:r w:rsidRPr="0098573C">
        <w:rPr>
          <w:rFonts w:ascii="Arial" w:hAnsi="Arial" w:cs="Arial"/>
          <w:sz w:val="22"/>
          <w:szCs w:val="22"/>
        </w:rPr>
        <w:t>, as appropriate, examination of design specification and documentation and observation of implementation and operation.</w:t>
      </w:r>
    </w:p>
    <w:p w14:paraId="4D9A667E" w14:textId="4D16BDA0" w:rsidR="00833094" w:rsidRPr="0098573C" w:rsidRDefault="00833094" w:rsidP="001A65B2">
      <w:pPr>
        <w:jc w:val="both"/>
        <w:rPr>
          <w:rFonts w:ascii="Arial" w:hAnsi="Arial" w:cs="Arial"/>
          <w:sz w:val="22"/>
          <w:szCs w:val="22"/>
        </w:rPr>
      </w:pPr>
      <w:r w:rsidRPr="0098573C">
        <w:rPr>
          <w:rFonts w:ascii="Arial" w:hAnsi="Arial" w:cs="Arial"/>
          <w:sz w:val="22"/>
          <w:szCs w:val="22"/>
        </w:rPr>
        <w:t>We will perform additional procedures if we become aware of matters that cause us to believe that the controls may not be suitably designed, implemented or operating effectively. The procedures selected depend on what we consider necessary applying ou</w:t>
      </w:r>
      <w:r w:rsidR="00267226" w:rsidRPr="0098573C">
        <w:rPr>
          <w:rFonts w:ascii="Arial" w:hAnsi="Arial" w:cs="Arial"/>
          <w:sz w:val="22"/>
          <w:szCs w:val="22"/>
        </w:rPr>
        <w:t>r</w:t>
      </w:r>
      <w:r w:rsidRPr="0098573C">
        <w:rPr>
          <w:rFonts w:ascii="Arial" w:hAnsi="Arial" w:cs="Arial"/>
          <w:sz w:val="22"/>
          <w:szCs w:val="22"/>
        </w:rPr>
        <w:t xml:space="preserve"> professional judgement, including the assessment of the risks of material deficiencies in the design and implementation or deviations in the operating effectiveness of the controls. </w:t>
      </w:r>
    </w:p>
    <w:p w14:paraId="375AD0BB" w14:textId="77777777" w:rsidR="00833094" w:rsidRPr="0098573C" w:rsidRDefault="00833094" w:rsidP="001A65B2">
      <w:pPr>
        <w:jc w:val="both"/>
        <w:rPr>
          <w:rFonts w:ascii="Arial" w:hAnsi="Arial" w:cs="Arial"/>
          <w:sz w:val="22"/>
          <w:szCs w:val="22"/>
        </w:rPr>
      </w:pPr>
      <w:r w:rsidRPr="0098573C">
        <w:rPr>
          <w:rFonts w:ascii="Arial" w:hAnsi="Arial" w:cs="Arial"/>
          <w:sz w:val="22"/>
          <w:szCs w:val="22"/>
        </w:rPr>
        <w:t>The procedures selected depend on our judgement, including our assessment of the risks of a material breakdown in controls. In making those risk assessments, we consider internal control systems and compliance functions relevant to ensuring compliance with all applicable Prudential Requirements and provision of reliable data to APRA in the Return prepared under the FSCODA, in order to design assurance procedures that are appropriate in the circumstances.</w:t>
      </w:r>
    </w:p>
    <w:p w14:paraId="3206716C" w14:textId="77777777" w:rsidR="00833094" w:rsidRPr="0098573C" w:rsidRDefault="00833094" w:rsidP="0098573C">
      <w:pPr>
        <w:pStyle w:val="Heading3"/>
      </w:pPr>
      <w:r w:rsidRPr="0098573C">
        <w:t>Conclusion</w:t>
      </w:r>
    </w:p>
    <w:p w14:paraId="3C3A0DC2" w14:textId="34F92FFC" w:rsidR="00833094" w:rsidRPr="0098573C" w:rsidRDefault="00833094" w:rsidP="001A65B2">
      <w:pPr>
        <w:jc w:val="both"/>
        <w:rPr>
          <w:rFonts w:ascii="Arial" w:hAnsi="Arial" w:cs="Arial"/>
          <w:sz w:val="22"/>
          <w:szCs w:val="22"/>
        </w:rPr>
      </w:pPr>
      <w:r w:rsidRPr="0098573C">
        <w:rPr>
          <w:rFonts w:ascii="Arial" w:hAnsi="Arial" w:cs="Arial"/>
          <w:sz w:val="22"/>
          <w:szCs w:val="22"/>
        </w:rPr>
        <w:t xml:space="preserve">Based on our </w:t>
      </w:r>
      <w:r w:rsidR="001A193E" w:rsidRPr="0098573C">
        <w:rPr>
          <w:rFonts w:ascii="Arial" w:hAnsi="Arial" w:cs="Arial"/>
          <w:sz w:val="22"/>
          <w:szCs w:val="22"/>
        </w:rPr>
        <w:t>limited assurance engagement</w:t>
      </w:r>
      <w:r w:rsidRPr="0098573C">
        <w:rPr>
          <w:rFonts w:ascii="Arial" w:hAnsi="Arial" w:cs="Arial"/>
          <w:sz w:val="22"/>
          <w:szCs w:val="22"/>
        </w:rPr>
        <w:t>, which is not an audit</w:t>
      </w:r>
      <w:r w:rsidR="009142E4" w:rsidRPr="0098573C">
        <w:rPr>
          <w:rFonts w:ascii="Arial" w:hAnsi="Arial" w:cs="Arial"/>
          <w:sz w:val="22"/>
          <w:szCs w:val="22"/>
        </w:rPr>
        <w:t>,</w:t>
      </w:r>
      <w:r w:rsidRPr="0098573C">
        <w:rPr>
          <w:rFonts w:ascii="Arial" w:hAnsi="Arial" w:cs="Arial"/>
          <w:sz w:val="22"/>
          <w:szCs w:val="22"/>
        </w:rPr>
        <w:t xml:space="preserve"> nothing has come to our attention that causes us to believe in all material respects, throughout the period from [date] to [date]: </w:t>
      </w:r>
    </w:p>
    <w:p w14:paraId="1A2E96EF" w14:textId="77777777" w:rsidR="00833094" w:rsidRPr="0098573C" w:rsidRDefault="00833094" w:rsidP="001A65B2">
      <w:pPr>
        <w:pStyle w:val="HangingIndent1"/>
        <w:jc w:val="both"/>
        <w:rPr>
          <w:rFonts w:ascii="Arial" w:hAnsi="Arial" w:cs="Arial"/>
          <w:sz w:val="22"/>
          <w:szCs w:val="22"/>
        </w:rPr>
      </w:pPr>
      <w:r w:rsidRPr="0098573C">
        <w:rPr>
          <w:rFonts w:ascii="Arial" w:hAnsi="Arial" w:cs="Arial"/>
          <w:sz w:val="22"/>
          <w:szCs w:val="22"/>
        </w:rPr>
        <w:lastRenderedPageBreak/>
        <w:t>(a)</w:t>
      </w:r>
      <w:r w:rsidRPr="0098573C">
        <w:rPr>
          <w:rFonts w:ascii="Arial" w:hAnsi="Arial" w:cs="Arial"/>
          <w:sz w:val="22"/>
          <w:szCs w:val="22"/>
        </w:rPr>
        <w:tab/>
        <w:t xml:space="preserve">the </w:t>
      </w:r>
      <w:r w:rsidRPr="0098573C">
        <w:rPr>
          <w:rFonts w:ascii="Arial" w:hAnsi="Arial" w:cs="Arial"/>
          <w:sz w:val="22"/>
          <w:szCs w:val="22"/>
          <w:lang w:val="en-US"/>
        </w:rPr>
        <w:t xml:space="preserve">Insurer </w:t>
      </w:r>
      <w:r w:rsidRPr="0098573C">
        <w:rPr>
          <w:rFonts w:ascii="Arial" w:hAnsi="Arial" w:cs="Arial"/>
          <w:sz w:val="22"/>
          <w:szCs w:val="22"/>
        </w:rPr>
        <w:t xml:space="preserve">did not have controls that are designed to ensure: </w:t>
      </w:r>
    </w:p>
    <w:p w14:paraId="0860FEEF" w14:textId="77777777" w:rsidR="00833094" w:rsidRPr="0098573C" w:rsidRDefault="00833094" w:rsidP="001A65B2">
      <w:pPr>
        <w:pStyle w:val="HangingIndent2"/>
        <w:jc w:val="both"/>
        <w:rPr>
          <w:rFonts w:ascii="Arial" w:hAnsi="Arial" w:cs="Arial"/>
          <w:sz w:val="22"/>
          <w:szCs w:val="22"/>
        </w:rPr>
      </w:pPr>
      <w:r w:rsidRPr="0098573C">
        <w:rPr>
          <w:rFonts w:ascii="Arial" w:hAnsi="Arial" w:cs="Arial"/>
          <w:sz w:val="22"/>
          <w:szCs w:val="22"/>
        </w:rPr>
        <w:t>(i)</w:t>
      </w:r>
      <w:r w:rsidRPr="0098573C">
        <w:rPr>
          <w:rFonts w:ascii="Arial" w:hAnsi="Arial" w:cs="Arial"/>
          <w:sz w:val="22"/>
          <w:szCs w:val="22"/>
        </w:rPr>
        <w:tab/>
        <w:t>compliance with all applicable Prudential Requirements</w:t>
      </w:r>
    </w:p>
    <w:p w14:paraId="0C20BB78" w14:textId="77777777" w:rsidR="00833094" w:rsidRPr="0098573C" w:rsidRDefault="00833094" w:rsidP="001A65B2">
      <w:pPr>
        <w:pStyle w:val="HangingIndent2"/>
        <w:jc w:val="both"/>
        <w:rPr>
          <w:rFonts w:ascii="Arial" w:hAnsi="Arial" w:cs="Arial"/>
          <w:sz w:val="22"/>
          <w:szCs w:val="22"/>
        </w:rPr>
      </w:pPr>
      <w:r w:rsidRPr="0098573C">
        <w:rPr>
          <w:rFonts w:ascii="Arial" w:hAnsi="Arial" w:cs="Arial"/>
          <w:sz w:val="22"/>
          <w:szCs w:val="22"/>
        </w:rPr>
        <w:t>(ii)</w:t>
      </w:r>
      <w:r w:rsidRPr="0098573C">
        <w:rPr>
          <w:rFonts w:ascii="Arial" w:hAnsi="Arial" w:cs="Arial"/>
          <w:sz w:val="22"/>
          <w:szCs w:val="22"/>
        </w:rPr>
        <w:tab/>
        <w:t xml:space="preserve">reliable data is provided to APRA in the Return prepared under the FSCODA and </w:t>
      </w:r>
    </w:p>
    <w:p w14:paraId="36EB55FB" w14:textId="6018FA88" w:rsidR="00833094" w:rsidRPr="0098573C" w:rsidRDefault="00833094" w:rsidP="001A65B2">
      <w:pPr>
        <w:pStyle w:val="HangingIndent1"/>
        <w:jc w:val="both"/>
        <w:rPr>
          <w:rFonts w:ascii="Arial" w:hAnsi="Arial" w:cs="Arial"/>
          <w:sz w:val="22"/>
          <w:szCs w:val="22"/>
        </w:rPr>
      </w:pPr>
      <w:r w:rsidRPr="0098573C">
        <w:rPr>
          <w:rFonts w:ascii="Arial" w:hAnsi="Arial" w:cs="Arial"/>
          <w:sz w:val="22"/>
          <w:szCs w:val="22"/>
        </w:rPr>
        <w:t>(b)</w:t>
      </w:r>
      <w:r w:rsidRPr="0098573C">
        <w:rPr>
          <w:rFonts w:ascii="Arial" w:hAnsi="Arial" w:cs="Arial"/>
          <w:sz w:val="22"/>
          <w:szCs w:val="22"/>
        </w:rPr>
        <w:tab/>
        <w:t>these controls have not operated effectively.</w:t>
      </w:r>
    </w:p>
    <w:p w14:paraId="39CA0FCA" w14:textId="77777777" w:rsidR="002279A2" w:rsidRPr="0098573C" w:rsidRDefault="002279A2" w:rsidP="0098573C">
      <w:pPr>
        <w:pStyle w:val="Heading2"/>
      </w:pPr>
      <w:r w:rsidRPr="0098573C">
        <w:t xml:space="preserve">Basis of restriction on distribution </w:t>
      </w:r>
    </w:p>
    <w:p w14:paraId="17CC9320" w14:textId="70CD3BBE" w:rsidR="002279A2" w:rsidRPr="0098573C" w:rsidRDefault="002279A2" w:rsidP="001A65B2">
      <w:pPr>
        <w:jc w:val="both"/>
        <w:rPr>
          <w:rFonts w:ascii="Arial" w:hAnsi="Arial" w:cs="Arial"/>
          <w:sz w:val="22"/>
          <w:szCs w:val="22"/>
        </w:rPr>
      </w:pPr>
      <w:r w:rsidRPr="0098573C">
        <w:rPr>
          <w:rFonts w:ascii="Arial" w:hAnsi="Arial" w:cs="Arial"/>
          <w:sz w:val="22"/>
          <w:szCs w:val="22"/>
        </w:rPr>
        <w:t xml:space="preserve">This report has been prepared for distribution to the [insert as applicable Board or Board Audit Committee(s)], of the Insurer and APRA. This report is prepared in accordance with the terms of our engagement letter dated </w:t>
      </w:r>
      <w:r w:rsidR="00D400AB" w:rsidRPr="0098573C">
        <w:rPr>
          <w:rFonts w:ascii="Arial" w:hAnsi="Arial" w:cs="Arial"/>
          <w:sz w:val="22"/>
          <w:szCs w:val="22"/>
          <w:lang w:val="en-US"/>
        </w:rPr>
        <w:fldChar w:fldCharType="begin"/>
      </w:r>
      <w:r w:rsidR="00D400AB" w:rsidRPr="0098573C">
        <w:rPr>
          <w:rFonts w:ascii="Arial" w:hAnsi="Arial" w:cs="Arial"/>
          <w:sz w:val="22"/>
          <w:szCs w:val="22"/>
          <w:lang w:val="en-US"/>
        </w:rPr>
        <w:instrText xml:space="preserve"> DOCPROPERTY  EngagementDate  \* MERGEFORMAT </w:instrText>
      </w:r>
      <w:r w:rsidR="00D400AB" w:rsidRPr="0098573C">
        <w:rPr>
          <w:rFonts w:ascii="Arial" w:hAnsi="Arial" w:cs="Arial"/>
          <w:sz w:val="22"/>
          <w:szCs w:val="22"/>
          <w:lang w:val="en-US"/>
        </w:rPr>
        <w:fldChar w:fldCharType="separate"/>
      </w:r>
      <w:r w:rsidRPr="0098573C">
        <w:rPr>
          <w:rFonts w:ascii="Arial" w:hAnsi="Arial" w:cs="Arial"/>
          <w:sz w:val="22"/>
          <w:szCs w:val="22"/>
          <w:lang w:val="en-US"/>
        </w:rPr>
        <w:t>[insert date of engagement]</w:t>
      </w:r>
      <w:r w:rsidR="00D400AB" w:rsidRPr="0098573C">
        <w:rPr>
          <w:rFonts w:ascii="Arial" w:hAnsi="Arial" w:cs="Arial"/>
          <w:sz w:val="22"/>
          <w:szCs w:val="22"/>
          <w:lang w:val="en-US"/>
        </w:rPr>
        <w:fldChar w:fldCharType="end"/>
      </w:r>
      <w:r w:rsidRPr="0098573C">
        <w:rPr>
          <w:rFonts w:ascii="Arial" w:hAnsi="Arial" w:cs="Arial"/>
          <w:sz w:val="22"/>
          <w:szCs w:val="22"/>
        </w:rPr>
        <w:t xml:space="preserve">, in order to satisfy APRA’s prudential reporting requirements for appointed auditors of private health insurers, as specified in HPS 310. </w:t>
      </w:r>
    </w:p>
    <w:p w14:paraId="1E34E4D4" w14:textId="77777777" w:rsidR="002279A2" w:rsidRPr="0098573C" w:rsidRDefault="002279A2" w:rsidP="001A65B2">
      <w:pPr>
        <w:jc w:val="both"/>
        <w:rPr>
          <w:rFonts w:ascii="Arial" w:hAnsi="Arial" w:cs="Arial"/>
          <w:sz w:val="22"/>
          <w:szCs w:val="22"/>
        </w:rPr>
      </w:pPr>
      <w:r w:rsidRPr="0098573C">
        <w:rPr>
          <w:rFonts w:ascii="Arial" w:hAnsi="Arial" w:cs="Arial"/>
          <w:sz w:val="22"/>
          <w:szCs w:val="22"/>
        </w:rPr>
        <w:t xml:space="preserve">In accordance with the </w:t>
      </w:r>
      <w:r w:rsidRPr="0098573C">
        <w:rPr>
          <w:rStyle w:val="Italic"/>
          <w:rFonts w:ascii="Arial" w:hAnsi="Arial" w:cs="Arial"/>
          <w:sz w:val="22"/>
          <w:szCs w:val="22"/>
        </w:rPr>
        <w:t>Australian Prudential Regulation Authority Act 1998</w:t>
      </w:r>
      <w:r w:rsidRPr="0098573C">
        <w:rPr>
          <w:rFonts w:ascii="Arial" w:hAnsi="Arial" w:cs="Arial"/>
          <w:sz w:val="22"/>
          <w:szCs w:val="22"/>
        </w:rPr>
        <w:t xml:space="preserve">, APRA may make this report available to other specified agencies when APRA is satisfied that such information will assist these agencies in performing their functions or exercising their powers. </w:t>
      </w:r>
    </w:p>
    <w:p w14:paraId="6E3B6750" w14:textId="067996D5" w:rsidR="002279A2" w:rsidRPr="0098573C" w:rsidRDefault="002279A2" w:rsidP="001A65B2">
      <w:pPr>
        <w:jc w:val="both"/>
        <w:rPr>
          <w:rFonts w:ascii="Arial" w:hAnsi="Arial" w:cs="Arial"/>
          <w:sz w:val="22"/>
          <w:szCs w:val="22"/>
        </w:rPr>
      </w:pPr>
      <w:r w:rsidRPr="0098573C">
        <w:rPr>
          <w:rFonts w:ascii="Arial" w:hAnsi="Arial" w:cs="Arial"/>
          <w:sz w:val="22"/>
          <w:szCs w:val="22"/>
        </w:rPr>
        <w:t xml:space="preserve">This report is not to be distributed to any party other than those to whom it is addressed, APRA, and other parties to whom APRA is lawfully entitled to provide relevant information. We disclaim any assumption of responsibility for any reliance on this report or the subject matter to which it relates, to any party other than the [insert as applicable Board, or Board Audit Committee], of the Insurer and APRA in the performance of its functions under the Act. </w:t>
      </w:r>
    </w:p>
    <w:p w14:paraId="4037DF80" w14:textId="77777777" w:rsidR="00833094" w:rsidRPr="0098573C" w:rsidRDefault="00833094" w:rsidP="001A65B2">
      <w:pPr>
        <w:pStyle w:val="BodySingle"/>
        <w:jc w:val="both"/>
        <w:rPr>
          <w:rFonts w:ascii="Arial" w:hAnsi="Arial" w:cs="Arial"/>
          <w:sz w:val="22"/>
          <w:szCs w:val="22"/>
        </w:rPr>
      </w:pPr>
    </w:p>
    <w:p w14:paraId="435C9B0E" w14:textId="77777777" w:rsidR="00833094" w:rsidRPr="0098573C" w:rsidRDefault="00833094" w:rsidP="001A65B2">
      <w:pPr>
        <w:pStyle w:val="BodySingle"/>
        <w:jc w:val="both"/>
        <w:rPr>
          <w:rFonts w:ascii="Arial" w:hAnsi="Arial" w:cs="Arial"/>
          <w:sz w:val="22"/>
          <w:szCs w:val="22"/>
        </w:rPr>
      </w:pPr>
    </w:p>
    <w:p w14:paraId="52B533D6" w14:textId="77777777" w:rsidR="00833094" w:rsidRPr="0098573C" w:rsidRDefault="00833094" w:rsidP="001A65B2">
      <w:pPr>
        <w:pStyle w:val="BodySingle"/>
        <w:jc w:val="both"/>
        <w:rPr>
          <w:rFonts w:ascii="Arial" w:hAnsi="Arial" w:cs="Arial"/>
          <w:noProof/>
          <w:sz w:val="22"/>
          <w:szCs w:val="22"/>
          <w:lang w:val="en-AU" w:eastAsia="en-AU"/>
        </w:rPr>
      </w:pPr>
      <w:r w:rsidRPr="0098573C">
        <w:rPr>
          <w:rFonts w:ascii="Arial" w:hAnsi="Arial" w:cs="Arial"/>
          <w:noProof/>
          <w:sz w:val="22"/>
          <w:szCs w:val="22"/>
          <w:lang w:val="en-AU" w:eastAsia="en-AU"/>
        </w:rPr>
        <mc:AlternateContent>
          <mc:Choice Requires="wps">
            <w:drawing>
              <wp:anchor distT="0" distB="0" distL="114300" distR="114300" simplePos="0" relativeHeight="251658240" behindDoc="0" locked="1" layoutInCell="1" allowOverlap="1" wp14:anchorId="66491405" wp14:editId="1C91EEE4">
                <wp:simplePos x="0" y="0"/>
                <wp:positionH relativeFrom="page">
                  <wp:posOffset>1116330</wp:posOffset>
                </wp:positionH>
                <wp:positionV relativeFrom="paragraph">
                  <wp:posOffset>9544050</wp:posOffset>
                </wp:positionV>
                <wp:extent cx="5903595" cy="139065"/>
                <wp:effectExtent l="11430" t="8890" r="9525" b="1397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3595" cy="139065"/>
                        </a:xfrm>
                        <a:custGeom>
                          <a:avLst/>
                          <a:gdLst>
                            <a:gd name="T0" fmla="*/ 0 w 5904086"/>
                            <a:gd name="T1" fmla="*/ 144000 h 144001"/>
                            <a:gd name="T2" fmla="*/ 0 w 5904086"/>
                            <a:gd name="T3" fmla="*/ 0 h 144001"/>
                            <a:gd name="T4" fmla="*/ 5904085 w 5904086"/>
                            <a:gd name="T5" fmla="*/ 0 h 144001"/>
                            <a:gd name="T6" fmla="*/ 0 w 5904086"/>
                            <a:gd name="T7" fmla="*/ 0 h 144001"/>
                            <a:gd name="T8" fmla="*/ 5904086 w 5904086"/>
                            <a:gd name="T9" fmla="*/ 144001 h 144001"/>
                          </a:gdLst>
                          <a:ahLst/>
                          <a:cxnLst>
                            <a:cxn ang="0">
                              <a:pos x="T0" y="T1"/>
                            </a:cxn>
                            <a:cxn ang="0">
                              <a:pos x="T2" y="T3"/>
                            </a:cxn>
                            <a:cxn ang="0">
                              <a:pos x="T4" y="T5"/>
                            </a:cxn>
                          </a:cxnLst>
                          <a:rect l="T6" t="T7" r="T8" b="T9"/>
                          <a:pathLst>
                            <a:path w="5904086" h="144001">
                              <a:moveTo>
                                <a:pt x="0" y="144000"/>
                              </a:moveTo>
                              <a:lnTo>
                                <a:pt x="0" y="0"/>
                              </a:lnTo>
                              <a:lnTo>
                                <a:pt x="5904085" y="0"/>
                              </a:lnTo>
                            </a:path>
                          </a:pathLst>
                        </a:custGeom>
                        <a:noFill/>
                        <a:ln w="12700">
                          <a:solidFill>
                            <a:srgbClr val="9A1702"/>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1B5DC32" id="Freeform 5" o:spid="_x0000_s1026" style="position:absolute;margin-left:87.9pt;margin-top:751.5pt;width:464.85pt;height:10.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04086,144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" path="m,144000l,,5904085,e" filled="f" strokecolor="#9a1702" strokeweight="1pt">
                <v:stroke dashstyle="1 1"/>
                <v:path arrowok="t" o:connecttype="custom" o:connectlocs="0,139064;0,0;5903594,0" o:connectangles="0,0,0" textboxrect="0,0,5904086,144001"/>
                <w10:wrap anchorx="page"/>
                <w10:anchorlock/>
              </v:shape>
            </w:pict>
          </mc:Fallback>
        </mc:AlternateContent>
      </w:r>
      <w:r w:rsidRPr="0098573C">
        <w:rPr>
          <w:rFonts w:ascii="Arial" w:hAnsi="Arial" w:cs="Arial"/>
          <w:noProof/>
          <w:sz w:val="22"/>
          <w:szCs w:val="22"/>
          <w:lang w:val="en-AU" w:eastAsia="en-AU"/>
        </w:rPr>
        <mc:AlternateContent>
          <mc:Choice Requires="wps">
            <w:drawing>
              <wp:anchor distT="0" distB="0" distL="114300" distR="114300" simplePos="0" relativeHeight="251660288" behindDoc="0" locked="1" layoutInCell="1" allowOverlap="1" wp14:anchorId="258669F6" wp14:editId="309BC0A2">
                <wp:simplePos x="0" y="0"/>
                <wp:positionH relativeFrom="page">
                  <wp:posOffset>1116330</wp:posOffset>
                </wp:positionH>
                <wp:positionV relativeFrom="paragraph">
                  <wp:posOffset>9544050</wp:posOffset>
                </wp:positionV>
                <wp:extent cx="5903595" cy="139065"/>
                <wp:effectExtent l="11430" t="8890" r="9525" b="1397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3595" cy="139065"/>
                        </a:xfrm>
                        <a:custGeom>
                          <a:avLst/>
                          <a:gdLst>
                            <a:gd name="T0" fmla="*/ 0 w 5904086"/>
                            <a:gd name="T1" fmla="*/ 144000 h 144001"/>
                            <a:gd name="T2" fmla="*/ 0 w 5904086"/>
                            <a:gd name="T3" fmla="*/ 0 h 144001"/>
                            <a:gd name="T4" fmla="*/ 5904085 w 5904086"/>
                            <a:gd name="T5" fmla="*/ 0 h 144001"/>
                            <a:gd name="T6" fmla="*/ 0 w 5904086"/>
                            <a:gd name="T7" fmla="*/ 0 h 144001"/>
                            <a:gd name="T8" fmla="*/ 5904086 w 5904086"/>
                            <a:gd name="T9" fmla="*/ 144001 h 144001"/>
                          </a:gdLst>
                          <a:ahLst/>
                          <a:cxnLst>
                            <a:cxn ang="0">
                              <a:pos x="T0" y="T1"/>
                            </a:cxn>
                            <a:cxn ang="0">
                              <a:pos x="T2" y="T3"/>
                            </a:cxn>
                            <a:cxn ang="0">
                              <a:pos x="T4" y="T5"/>
                            </a:cxn>
                          </a:cxnLst>
                          <a:rect l="T6" t="T7" r="T8" b="T9"/>
                          <a:pathLst>
                            <a:path w="5904086" h="144001">
                              <a:moveTo>
                                <a:pt x="0" y="144000"/>
                              </a:moveTo>
                              <a:lnTo>
                                <a:pt x="0" y="0"/>
                              </a:lnTo>
                              <a:lnTo>
                                <a:pt x="5904085" y="0"/>
                              </a:lnTo>
                            </a:path>
                          </a:pathLst>
                        </a:custGeom>
                        <a:noFill/>
                        <a:ln w="12700">
                          <a:solidFill>
                            <a:srgbClr val="9A1702"/>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9C7ADFA" id="Freeform 4" o:spid="_x0000_s1026" style="position:absolute;margin-left:87.9pt;margin-top:751.5pt;width:464.85pt;height:10.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04086,144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" path="m,144000l,,5904085,e" filled="f" strokecolor="#9a1702" strokeweight="1pt">
                <v:stroke dashstyle="1 1"/>
                <v:path arrowok="t" o:connecttype="custom" o:connectlocs="0,139064;0,0;5903594,0" o:connectangles="0,0,0" textboxrect="0,0,5904086,144001"/>
                <w10:wrap anchorx="page"/>
                <w10:anchorlock/>
              </v:shape>
            </w:pict>
          </mc:Fallback>
        </mc:AlternateContent>
      </w:r>
      <w:r w:rsidRPr="0098573C">
        <w:rPr>
          <w:rFonts w:ascii="Arial" w:hAnsi="Arial" w:cs="Arial"/>
          <w:noProof/>
          <w:sz w:val="22"/>
          <w:szCs w:val="22"/>
          <w:lang w:val="en-AU" w:eastAsia="en-AU"/>
        </w:rPr>
        <w:t>Firm</w:t>
      </w:r>
    </w:p>
    <w:p w14:paraId="0C928B16" w14:textId="77777777" w:rsidR="00833094" w:rsidRPr="0098573C" w:rsidRDefault="00833094" w:rsidP="001A65B2">
      <w:pPr>
        <w:pStyle w:val="BodySingle"/>
        <w:jc w:val="both"/>
        <w:rPr>
          <w:rFonts w:ascii="Arial" w:hAnsi="Arial" w:cs="Arial"/>
          <w:sz w:val="22"/>
          <w:szCs w:val="22"/>
        </w:rPr>
      </w:pPr>
    </w:p>
    <w:p w14:paraId="21D752D1" w14:textId="77777777" w:rsidR="00833094" w:rsidRPr="0098573C" w:rsidRDefault="00833094" w:rsidP="001A65B2">
      <w:pPr>
        <w:pStyle w:val="BodySingle"/>
        <w:jc w:val="both"/>
        <w:rPr>
          <w:rFonts w:ascii="Arial" w:hAnsi="Arial" w:cs="Arial"/>
          <w:sz w:val="22"/>
          <w:szCs w:val="22"/>
        </w:rPr>
      </w:pPr>
      <w:bookmarkStart w:id="4" w:name="_GoBack"/>
      <w:bookmarkEnd w:id="4"/>
    </w:p>
    <w:p w14:paraId="7327B0FE" w14:textId="77777777" w:rsidR="001A65B2" w:rsidRPr="0098573C" w:rsidRDefault="00833094" w:rsidP="001A65B2">
      <w:pPr>
        <w:pStyle w:val="BodySingle"/>
        <w:jc w:val="both"/>
        <w:rPr>
          <w:rFonts w:ascii="Arial" w:hAnsi="Arial" w:cs="Arial"/>
          <w:sz w:val="22"/>
          <w:szCs w:val="22"/>
        </w:rPr>
      </w:pPr>
      <w:bookmarkStart w:id="5" w:name="PartnerName"/>
      <w:r w:rsidRPr="0098573C">
        <w:rPr>
          <w:rFonts w:ascii="Arial" w:hAnsi="Arial" w:cs="Arial"/>
          <w:sz w:val="22"/>
          <w:szCs w:val="22"/>
        </w:rPr>
        <w:t xml:space="preserve">Partner Name </w:t>
      </w:r>
      <w:bookmarkEnd w:id="5"/>
      <w:r w:rsidRPr="0098573C">
        <w:rPr>
          <w:rFonts w:ascii="Arial" w:hAnsi="Arial" w:cs="Arial"/>
          <w:sz w:val="22"/>
          <w:szCs w:val="22"/>
        </w:rPr>
        <w:tab/>
      </w:r>
      <w:bookmarkStart w:id="6" w:name="PartnerCity"/>
      <w:r w:rsidRPr="0098573C">
        <w:rPr>
          <w:rFonts w:ascii="Arial" w:hAnsi="Arial" w:cs="Arial"/>
          <w:sz w:val="22"/>
          <w:szCs w:val="22"/>
        </w:rPr>
        <w:tab/>
      </w:r>
      <w:r w:rsidRPr="0098573C">
        <w:rPr>
          <w:rFonts w:ascii="Arial" w:hAnsi="Arial" w:cs="Arial"/>
          <w:sz w:val="22"/>
          <w:szCs w:val="22"/>
        </w:rPr>
        <w:tab/>
      </w:r>
      <w:r w:rsidRPr="0098573C">
        <w:rPr>
          <w:rFonts w:ascii="Arial" w:hAnsi="Arial" w:cs="Arial"/>
          <w:sz w:val="22"/>
          <w:szCs w:val="22"/>
        </w:rPr>
        <w:tab/>
      </w:r>
      <w:r w:rsidRPr="0098573C">
        <w:rPr>
          <w:rFonts w:ascii="Arial" w:hAnsi="Arial" w:cs="Arial"/>
          <w:sz w:val="22"/>
          <w:szCs w:val="22"/>
        </w:rPr>
        <w:tab/>
      </w:r>
      <w:r w:rsidRPr="0098573C">
        <w:rPr>
          <w:rFonts w:ascii="Arial" w:hAnsi="Arial" w:cs="Arial"/>
          <w:sz w:val="22"/>
          <w:szCs w:val="22"/>
        </w:rPr>
        <w:tab/>
      </w:r>
      <w:r w:rsidRPr="0098573C">
        <w:rPr>
          <w:rFonts w:ascii="Arial" w:hAnsi="Arial" w:cs="Arial"/>
          <w:sz w:val="22"/>
          <w:szCs w:val="22"/>
        </w:rPr>
        <w:tab/>
      </w:r>
      <w:r w:rsidRPr="0098573C">
        <w:rPr>
          <w:rFonts w:ascii="Arial" w:hAnsi="Arial" w:cs="Arial"/>
          <w:sz w:val="22"/>
          <w:szCs w:val="22"/>
        </w:rPr>
        <w:tab/>
      </w:r>
      <w:r w:rsidRPr="0098573C">
        <w:rPr>
          <w:rFonts w:ascii="Arial" w:hAnsi="Arial" w:cs="Arial"/>
          <w:sz w:val="22"/>
          <w:szCs w:val="22"/>
        </w:rPr>
        <w:tab/>
        <w:t xml:space="preserve">Location </w:t>
      </w:r>
      <w:bookmarkEnd w:id="6"/>
    </w:p>
    <w:p w14:paraId="3FAFA1EA" w14:textId="2F127A5F" w:rsidR="0015704B" w:rsidRDefault="00833094" w:rsidP="001A65B2">
      <w:pPr>
        <w:pStyle w:val="BodySingle"/>
        <w:jc w:val="both"/>
        <w:rPr>
          <w:rFonts w:ascii="Arial" w:hAnsi="Arial" w:cs="Arial"/>
          <w:sz w:val="22"/>
          <w:szCs w:val="22"/>
        </w:rPr>
      </w:pPr>
      <w:r w:rsidRPr="0098573C">
        <w:rPr>
          <w:rFonts w:ascii="Arial" w:hAnsi="Arial" w:cs="Arial"/>
          <w:sz w:val="22"/>
          <w:szCs w:val="22"/>
        </w:rPr>
        <w:t>Partner</w:t>
      </w:r>
    </w:p>
    <w:p w14:paraId="1BD5707C" w14:textId="3E0F4710" w:rsidR="00C85794" w:rsidRPr="0098573C" w:rsidRDefault="00833094" w:rsidP="001A65B2">
      <w:pPr>
        <w:pStyle w:val="BodySingle"/>
        <w:jc w:val="both"/>
        <w:rPr>
          <w:rFonts w:ascii="Arial" w:hAnsi="Arial" w:cs="Arial"/>
          <w:sz w:val="22"/>
          <w:szCs w:val="22"/>
        </w:rPr>
      </w:pPr>
      <w:r w:rsidRPr="0098573C">
        <w:rPr>
          <w:rFonts w:ascii="Arial" w:hAnsi="Arial" w:cs="Arial"/>
          <w:sz w:val="22"/>
          <w:szCs w:val="22"/>
        </w:rPr>
        <w:fldChar w:fldCharType="begin"/>
      </w:r>
      <w:r w:rsidRPr="0098573C">
        <w:rPr>
          <w:rFonts w:ascii="Arial" w:hAnsi="Arial" w:cs="Arial"/>
          <w:sz w:val="22"/>
          <w:szCs w:val="22"/>
        </w:rPr>
        <w:instrText xml:space="preserve">  </w:instrText>
      </w:r>
      <w:r w:rsidRPr="0098573C">
        <w:rPr>
          <w:rFonts w:ascii="Arial" w:hAnsi="Arial" w:cs="Arial"/>
          <w:sz w:val="22"/>
          <w:szCs w:val="22"/>
        </w:rPr>
        <w:fldChar w:fldCharType="end"/>
      </w:r>
      <w:r w:rsidRPr="0098573C">
        <w:rPr>
          <w:rFonts w:ascii="Arial" w:hAnsi="Arial" w:cs="Arial"/>
          <w:sz w:val="22"/>
          <w:szCs w:val="22"/>
        </w:rPr>
        <w:t>[date]</w:t>
      </w:r>
    </w:p>
    <w:sectPr w:rsidR="00C85794" w:rsidRPr="0098573C" w:rsidSect="00833094">
      <w:headerReference w:type="even" r:id="rId13"/>
      <w:footerReference w:type="even" r:id="rId14"/>
      <w:pgSz w:w="11907" w:h="16839" w:code="9"/>
      <w:pgMar w:top="1985" w:right="851" w:bottom="2268" w:left="1985" w:header="567"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C147B" w14:textId="77777777" w:rsidR="00C96672" w:rsidRDefault="00C96672">
      <w:pPr>
        <w:spacing w:after="0" w:line="240" w:lineRule="auto"/>
      </w:pPr>
      <w:r>
        <w:separator/>
      </w:r>
    </w:p>
  </w:endnote>
  <w:endnote w:type="continuationSeparator" w:id="0">
    <w:p w14:paraId="662808C2" w14:textId="77777777" w:rsidR="00C96672" w:rsidRDefault="00C96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AFF09" w14:textId="77777777" w:rsidR="004623E6" w:rsidRDefault="00555DA7">
    <w:pPr>
      <w:pStyle w:val="Footer"/>
    </w:pPr>
    <w:r>
      <w:fldChar w:fldCharType="begin"/>
    </w:r>
    <w:r>
      <w:instrText xml:space="preserve"> PAGE  \* Arabic  \* MERGEFORMAT </w:instrText>
    </w:r>
    <w:r>
      <w:fldChar w:fldCharType="separate"/>
    </w:r>
    <w:r>
      <w:rPr>
        <w:noProof/>
      </w:rPr>
      <w:t>2</w:t>
    </w:r>
    <w:r>
      <w:rPr>
        <w:noProof/>
      </w:rPr>
      <w:fldChar w:fldCharType="end"/>
    </w:r>
  </w:p>
  <w:p w14:paraId="6506D608" w14:textId="77777777" w:rsidR="004623E6" w:rsidRDefault="001570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67895" w14:textId="77777777" w:rsidR="00C96672" w:rsidRDefault="00C96672">
      <w:pPr>
        <w:spacing w:after="0" w:line="240" w:lineRule="auto"/>
      </w:pPr>
      <w:r>
        <w:separator/>
      </w:r>
    </w:p>
  </w:footnote>
  <w:footnote w:type="continuationSeparator" w:id="0">
    <w:p w14:paraId="32D784AE" w14:textId="77777777" w:rsidR="00C96672" w:rsidRDefault="00C966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78143" w14:textId="77777777" w:rsidR="004623E6" w:rsidRDefault="0015704B">
    <w:pPr>
      <w:pStyle w:val="Header"/>
    </w:pPr>
  </w:p>
  <w:p w14:paraId="35A6DA81" w14:textId="77777777" w:rsidR="004623E6" w:rsidRDefault="001570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0C04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A8CD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E810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FCDC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EE7E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00FD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D28B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3CCD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4699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4ED8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1225B"/>
    <w:multiLevelType w:val="hybridMultilevel"/>
    <w:tmpl w:val="4CB41A9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984408E"/>
    <w:multiLevelType w:val="multilevel"/>
    <w:tmpl w:val="EE3860A0"/>
    <w:styleLink w:val="PwCListNumbers1"/>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2" w15:restartNumberingAfterBreak="0">
    <w:nsid w:val="166849C4"/>
    <w:multiLevelType w:val="multilevel"/>
    <w:tmpl w:val="CD4C98AE"/>
    <w:name w:val="PwCListBullets12"/>
    <w:numStyleLink w:val="PwCListBullets1"/>
  </w:abstractNum>
  <w:abstractNum w:abstractNumId="13" w15:restartNumberingAfterBreak="0">
    <w:nsid w:val="1E0849F5"/>
    <w:multiLevelType w:val="multilevel"/>
    <w:tmpl w:val="EE3860A0"/>
    <w:name w:val="PwCListNumbers12"/>
    <w:numStyleLink w:val="PwCListNumbers1"/>
  </w:abstractNum>
  <w:abstractNum w:abstractNumId="14" w15:restartNumberingAfterBreak="0">
    <w:nsid w:val="28905486"/>
    <w:multiLevelType w:val="multilevel"/>
    <w:tmpl w:val="CD4C98AE"/>
    <w:numStyleLink w:val="PwCListBullets1"/>
  </w:abstractNum>
  <w:abstractNum w:abstractNumId="15" w15:restartNumberingAfterBreak="0">
    <w:nsid w:val="322E3E20"/>
    <w:multiLevelType w:val="hybridMultilevel"/>
    <w:tmpl w:val="9EB89008"/>
    <w:lvl w:ilvl="0" w:tplc="BEE4A55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A57486E"/>
    <w:multiLevelType w:val="multilevel"/>
    <w:tmpl w:val="EE3860A0"/>
    <w:numStyleLink w:val="PwCListNumbers1"/>
  </w:abstractNum>
  <w:abstractNum w:abstractNumId="17" w15:restartNumberingAfterBreak="0">
    <w:nsid w:val="72591CA9"/>
    <w:multiLevelType w:val="multilevel"/>
    <w:tmpl w:val="CD4C98AE"/>
    <w:styleLink w:val="PwCListBullets1"/>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rPr>
    </w:lvl>
    <w:lvl w:ilvl="2">
      <w:start w:val="1"/>
      <w:numFmt w:val="bullet"/>
      <w:pStyle w:val="ListBullet3"/>
      <w:lvlText w:val="◦"/>
      <w:lvlJc w:val="left"/>
      <w:pPr>
        <w:tabs>
          <w:tab w:val="num" w:pos="1701"/>
        </w:tabs>
        <w:ind w:left="1701" w:hanging="567"/>
      </w:pPr>
      <w:rPr>
        <w:rFonts w:ascii="Georgia" w:hAnsi="Georgia" w:hint="default"/>
        <w:b/>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pStyle w:val="ListBullet5"/>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18" w15:restartNumberingAfterBreak="0">
    <w:nsid w:val="78034DA7"/>
    <w:multiLevelType w:val="multilevel"/>
    <w:tmpl w:val="190E979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Georgia" w:eastAsiaTheme="minorHAnsi" w:hAnsi="Georgia" w:cstheme="minorBidi"/>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2"/>
  </w:num>
  <w:num w:numId="14">
    <w:abstractNumId w:val="13"/>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7"/>
  </w:num>
  <w:num w:numId="18">
    <w:abstractNumId w:val="17"/>
  </w:num>
  <w:num w:numId="19">
    <w:abstractNumId w:val="17"/>
  </w:num>
  <w:num w:numId="20">
    <w:abstractNumId w:val="17"/>
  </w:num>
  <w:num w:numId="21">
    <w:abstractNumId w:val="17"/>
  </w:num>
  <w:num w:numId="22">
    <w:abstractNumId w:val="16"/>
  </w:num>
  <w:num w:numId="23">
    <w:abstractNumId w:val="16"/>
  </w:num>
  <w:num w:numId="24">
    <w:abstractNumId w:val="16"/>
  </w:num>
  <w:num w:numId="25">
    <w:abstractNumId w:val="16"/>
  </w:num>
  <w:num w:numId="26">
    <w:abstractNumId w:val="16"/>
  </w:num>
  <w:num w:numId="27">
    <w:abstractNumId w:val="17"/>
  </w:num>
  <w:num w:numId="28">
    <w:abstractNumId w:val="11"/>
  </w:num>
  <w:num w:numId="29">
    <w:abstractNumId w:val="14"/>
  </w:num>
  <w:num w:numId="30">
    <w:abstractNumId w:val="14"/>
  </w:num>
  <w:num w:numId="31">
    <w:abstractNumId w:val="14"/>
  </w:num>
  <w:num w:numId="32">
    <w:abstractNumId w:val="14"/>
  </w:num>
  <w:num w:numId="33">
    <w:abstractNumId w:val="14"/>
  </w:num>
  <w:num w:numId="34">
    <w:abstractNumId w:val="16"/>
  </w:num>
  <w:num w:numId="35">
    <w:abstractNumId w:val="16"/>
  </w:num>
  <w:num w:numId="36">
    <w:abstractNumId w:val="16"/>
  </w:num>
  <w:num w:numId="37">
    <w:abstractNumId w:val="16"/>
  </w:num>
  <w:num w:numId="38">
    <w:abstractNumId w:val="16"/>
  </w:num>
  <w:num w:numId="39">
    <w:abstractNumId w:val="17"/>
  </w:num>
  <w:num w:numId="40">
    <w:abstractNumId w:val="11"/>
  </w:num>
  <w:num w:numId="41">
    <w:abstractNumId w:val="10"/>
  </w:num>
  <w:num w:numId="42">
    <w:abstractNumId w:val="18"/>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hideSpellingErrors/>
  <w:hideGrammaticalErrors/>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094"/>
    <w:rsid w:val="00013D98"/>
    <w:rsid w:val="000172A9"/>
    <w:rsid w:val="00023669"/>
    <w:rsid w:val="00084A05"/>
    <w:rsid w:val="000B1EF9"/>
    <w:rsid w:val="000C02D4"/>
    <w:rsid w:val="00152703"/>
    <w:rsid w:val="0015704B"/>
    <w:rsid w:val="00161277"/>
    <w:rsid w:val="001644F4"/>
    <w:rsid w:val="00173A4E"/>
    <w:rsid w:val="00173EF0"/>
    <w:rsid w:val="001A193E"/>
    <w:rsid w:val="001A65B2"/>
    <w:rsid w:val="001D7A1E"/>
    <w:rsid w:val="001E45BA"/>
    <w:rsid w:val="00213D25"/>
    <w:rsid w:val="00221235"/>
    <w:rsid w:val="002279A2"/>
    <w:rsid w:val="0023539C"/>
    <w:rsid w:val="00242868"/>
    <w:rsid w:val="00257946"/>
    <w:rsid w:val="00257BBA"/>
    <w:rsid w:val="0026441C"/>
    <w:rsid w:val="00267226"/>
    <w:rsid w:val="00273BCE"/>
    <w:rsid w:val="00285404"/>
    <w:rsid w:val="002955F6"/>
    <w:rsid w:val="002C60F2"/>
    <w:rsid w:val="002D2404"/>
    <w:rsid w:val="002E2667"/>
    <w:rsid w:val="002E4FC3"/>
    <w:rsid w:val="002E6EAB"/>
    <w:rsid w:val="003065D8"/>
    <w:rsid w:val="00313EB1"/>
    <w:rsid w:val="00357857"/>
    <w:rsid w:val="00376FAA"/>
    <w:rsid w:val="00381019"/>
    <w:rsid w:val="0038590C"/>
    <w:rsid w:val="003879FF"/>
    <w:rsid w:val="003A51C9"/>
    <w:rsid w:val="003C19DF"/>
    <w:rsid w:val="003D25F4"/>
    <w:rsid w:val="003E2394"/>
    <w:rsid w:val="003F37C2"/>
    <w:rsid w:val="004157D2"/>
    <w:rsid w:val="00475C24"/>
    <w:rsid w:val="00491877"/>
    <w:rsid w:val="00491B87"/>
    <w:rsid w:val="004A1140"/>
    <w:rsid w:val="004A1A5F"/>
    <w:rsid w:val="004B2E33"/>
    <w:rsid w:val="004D059F"/>
    <w:rsid w:val="00512045"/>
    <w:rsid w:val="00555DA7"/>
    <w:rsid w:val="00572CFD"/>
    <w:rsid w:val="0058440E"/>
    <w:rsid w:val="00591986"/>
    <w:rsid w:val="00611811"/>
    <w:rsid w:val="00627574"/>
    <w:rsid w:val="00636CBE"/>
    <w:rsid w:val="0065386D"/>
    <w:rsid w:val="006714D9"/>
    <w:rsid w:val="006735F2"/>
    <w:rsid w:val="00687BEC"/>
    <w:rsid w:val="00690360"/>
    <w:rsid w:val="00695320"/>
    <w:rsid w:val="006D2F5C"/>
    <w:rsid w:val="006D597B"/>
    <w:rsid w:val="006E4FFD"/>
    <w:rsid w:val="006F6D8C"/>
    <w:rsid w:val="007401A9"/>
    <w:rsid w:val="00755775"/>
    <w:rsid w:val="00760A4B"/>
    <w:rsid w:val="00781205"/>
    <w:rsid w:val="007C58E0"/>
    <w:rsid w:val="007D6031"/>
    <w:rsid w:val="00826171"/>
    <w:rsid w:val="00833094"/>
    <w:rsid w:val="008353A4"/>
    <w:rsid w:val="00853633"/>
    <w:rsid w:val="00864C1F"/>
    <w:rsid w:val="008878F4"/>
    <w:rsid w:val="00891ABD"/>
    <w:rsid w:val="008D24FD"/>
    <w:rsid w:val="008D4184"/>
    <w:rsid w:val="008E049B"/>
    <w:rsid w:val="009112E9"/>
    <w:rsid w:val="009142E4"/>
    <w:rsid w:val="009570E1"/>
    <w:rsid w:val="0098573C"/>
    <w:rsid w:val="00996497"/>
    <w:rsid w:val="009C16FF"/>
    <w:rsid w:val="00A16749"/>
    <w:rsid w:val="00A33BD6"/>
    <w:rsid w:val="00A43FFF"/>
    <w:rsid w:val="00A629E5"/>
    <w:rsid w:val="00A653A5"/>
    <w:rsid w:val="00A726E4"/>
    <w:rsid w:val="00B17F51"/>
    <w:rsid w:val="00B30AE1"/>
    <w:rsid w:val="00B45C8E"/>
    <w:rsid w:val="00BA05A4"/>
    <w:rsid w:val="00C85794"/>
    <w:rsid w:val="00C94E5B"/>
    <w:rsid w:val="00C950BD"/>
    <w:rsid w:val="00C96672"/>
    <w:rsid w:val="00CC242C"/>
    <w:rsid w:val="00CD4D3D"/>
    <w:rsid w:val="00CE762E"/>
    <w:rsid w:val="00D05276"/>
    <w:rsid w:val="00D400AB"/>
    <w:rsid w:val="00D5229D"/>
    <w:rsid w:val="00D87D14"/>
    <w:rsid w:val="00D91E00"/>
    <w:rsid w:val="00D956B7"/>
    <w:rsid w:val="00DB6ADF"/>
    <w:rsid w:val="00DC2328"/>
    <w:rsid w:val="00DC6710"/>
    <w:rsid w:val="00DD5C55"/>
    <w:rsid w:val="00DE40D5"/>
    <w:rsid w:val="00DE44B3"/>
    <w:rsid w:val="00DF4B1A"/>
    <w:rsid w:val="00E41C01"/>
    <w:rsid w:val="00E6003C"/>
    <w:rsid w:val="00E6394C"/>
    <w:rsid w:val="00E65C39"/>
    <w:rsid w:val="00E90032"/>
    <w:rsid w:val="00EF1FE1"/>
    <w:rsid w:val="00F22A8C"/>
    <w:rsid w:val="00F40638"/>
    <w:rsid w:val="00F5116F"/>
    <w:rsid w:val="00FA3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ED8830"/>
  <w15:docId w15:val="{BE31C4F7-7747-4E5A-8DED-DE38B683F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heme="minorBidi"/>
        <w:lang w:val="en-GB" w:eastAsia="en-US" w:bidi="ar-SA"/>
      </w:rPr>
    </w:rPrDefault>
    <w:pPrDefault>
      <w:pPr>
        <w:spacing w:after="240" w:line="240" w:lineRule="atLeast"/>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4" w:unhideWhenUsed="1" w:qFormat="1"/>
    <w:lsdException w:name="List Continue 2" w:semiHidden="1" w:uiPriority="14" w:unhideWhenUsed="1" w:qFormat="1"/>
    <w:lsdException w:name="List Continue 3" w:semiHidden="1" w:uiPriority="14" w:unhideWhenUsed="1" w:qFormat="1"/>
    <w:lsdException w:name="List Continue 4" w:semiHidden="1" w:uiPriority="14" w:unhideWhenUsed="1"/>
    <w:lsdException w:name="List Continue 5" w:semiHidden="1" w:uiPriority="14"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2955F6"/>
    <w:rPr>
      <w:rFonts w:asciiTheme="minorHAnsi" w:hAnsiTheme="minorHAnsi"/>
    </w:rPr>
  </w:style>
  <w:style w:type="paragraph" w:styleId="Heading1">
    <w:name w:val="heading 1"/>
    <w:basedOn w:val="Normal"/>
    <w:next w:val="BodyText"/>
    <w:link w:val="Heading1Char"/>
    <w:uiPriority w:val="9"/>
    <w:qFormat/>
    <w:rsid w:val="00C85794"/>
    <w:pPr>
      <w:keepNext/>
      <w:keepLines/>
      <w:spacing w:after="40" w:line="240" w:lineRule="auto"/>
      <w:outlineLvl w:val="0"/>
    </w:pPr>
    <w:rPr>
      <w:rFonts w:asciiTheme="majorHAnsi" w:eastAsiaTheme="majorEastAsia" w:hAnsiTheme="majorHAnsi" w:cstheme="majorBidi"/>
      <w:b/>
      <w:bCs/>
      <w:i/>
      <w:sz w:val="32"/>
      <w:szCs w:val="28"/>
    </w:rPr>
  </w:style>
  <w:style w:type="paragraph" w:styleId="Heading2">
    <w:name w:val="heading 2"/>
    <w:basedOn w:val="Normal"/>
    <w:next w:val="BodyText"/>
    <w:link w:val="Heading2Char"/>
    <w:uiPriority w:val="9"/>
    <w:unhideWhenUsed/>
    <w:qFormat/>
    <w:rsid w:val="00C85794"/>
    <w:pPr>
      <w:keepNext/>
      <w:keepLines/>
      <w:spacing w:after="40" w:line="240" w:lineRule="auto"/>
      <w:outlineLvl w:val="1"/>
    </w:pPr>
    <w:rPr>
      <w:rFonts w:asciiTheme="majorHAnsi" w:eastAsiaTheme="majorEastAsia" w:hAnsiTheme="majorHAnsi" w:cstheme="majorBidi"/>
      <w:b/>
      <w:bCs/>
      <w:i/>
      <w:sz w:val="24"/>
      <w:szCs w:val="26"/>
    </w:rPr>
  </w:style>
  <w:style w:type="paragraph" w:styleId="Heading3">
    <w:name w:val="heading 3"/>
    <w:basedOn w:val="Normal"/>
    <w:next w:val="BodyText"/>
    <w:link w:val="Heading3Char"/>
    <w:uiPriority w:val="9"/>
    <w:unhideWhenUsed/>
    <w:qFormat/>
    <w:rsid w:val="00C85794"/>
    <w:pPr>
      <w:keepNext/>
      <w:keepLines/>
      <w:spacing w:after="40" w:line="240" w:lineRule="auto"/>
      <w:outlineLvl w:val="2"/>
    </w:pPr>
    <w:rPr>
      <w:rFonts w:asciiTheme="majorHAnsi" w:eastAsiaTheme="majorEastAsia" w:hAnsiTheme="majorHAnsi" w:cstheme="majorBidi"/>
      <w:bCs/>
      <w:i/>
      <w:sz w:val="24"/>
    </w:rPr>
  </w:style>
  <w:style w:type="paragraph" w:styleId="Heading4">
    <w:name w:val="heading 4"/>
    <w:basedOn w:val="Normal"/>
    <w:next w:val="BodyText"/>
    <w:link w:val="Heading4Char"/>
    <w:uiPriority w:val="9"/>
    <w:unhideWhenUsed/>
    <w:qFormat/>
    <w:rsid w:val="00C85794"/>
    <w:pPr>
      <w:keepNext/>
      <w:keepLines/>
      <w:spacing w:after="40" w:line="240" w:lineRule="auto"/>
      <w:outlineLvl w:val="3"/>
    </w:pPr>
    <w:rPr>
      <w:rFonts w:asciiTheme="majorHAnsi" w:eastAsiaTheme="majorEastAsia" w:hAnsiTheme="majorHAnsi" w:cstheme="majorBidi"/>
      <w:bCs/>
      <w:i/>
      <w:iCs/>
    </w:rPr>
  </w:style>
  <w:style w:type="paragraph" w:styleId="Heading5">
    <w:name w:val="heading 5"/>
    <w:basedOn w:val="Normal"/>
    <w:next w:val="BodyText"/>
    <w:link w:val="Heading5Char"/>
    <w:uiPriority w:val="9"/>
    <w:unhideWhenUsed/>
    <w:qFormat/>
    <w:rsid w:val="00C85794"/>
    <w:pPr>
      <w:keepNext/>
      <w:keepLines/>
      <w:spacing w:after="40" w:line="240" w:lineRule="auto"/>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C85794"/>
    <w:pPr>
      <w:keepNext/>
      <w:keepLines/>
      <w:spacing w:after="40" w:line="240" w:lineRule="auto"/>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unhideWhenUsed/>
    <w:qFormat/>
    <w:rsid w:val="00C85794"/>
    <w:pPr>
      <w:keepNext/>
      <w:keepLines/>
      <w:spacing w:after="40" w:line="240" w:lineRule="auto"/>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unhideWhenUsed/>
    <w:qFormat/>
    <w:rsid w:val="00C85794"/>
    <w:pPr>
      <w:keepNext/>
      <w:keepLines/>
      <w:spacing w:after="40" w:line="240" w:lineRule="auto"/>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C85794"/>
    <w:pPr>
      <w:keepNext/>
      <w:keepLines/>
      <w:spacing w:after="40" w:line="240" w:lineRule="auto"/>
      <w:outlineLvl w:val="8"/>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0172A9"/>
  </w:style>
  <w:style w:type="character" w:customStyle="1" w:styleId="BodyTextChar">
    <w:name w:val="Body Text Char"/>
    <w:basedOn w:val="DefaultParagraphFont"/>
    <w:link w:val="BodyText"/>
    <w:rsid w:val="000172A9"/>
  </w:style>
  <w:style w:type="paragraph" w:customStyle="1" w:styleId="BodySingle">
    <w:name w:val="Body Single"/>
    <w:basedOn w:val="BodyText"/>
    <w:link w:val="BodySingleChar"/>
    <w:uiPriority w:val="1"/>
    <w:qFormat/>
    <w:rsid w:val="00C85794"/>
    <w:pPr>
      <w:spacing w:after="0"/>
    </w:pPr>
  </w:style>
  <w:style w:type="paragraph" w:styleId="Header">
    <w:name w:val="header"/>
    <w:basedOn w:val="Normal"/>
    <w:link w:val="HeaderChar"/>
    <w:uiPriority w:val="99"/>
    <w:unhideWhenUsed/>
    <w:rsid w:val="00C85794"/>
    <w:pPr>
      <w:spacing w:after="0" w:line="240" w:lineRule="auto"/>
    </w:pPr>
    <w:rPr>
      <w:sz w:val="19"/>
    </w:rPr>
  </w:style>
  <w:style w:type="character" w:customStyle="1" w:styleId="BodySingleChar">
    <w:name w:val="Body Single Char"/>
    <w:basedOn w:val="BodyTextChar"/>
    <w:link w:val="BodySingle"/>
    <w:uiPriority w:val="1"/>
    <w:rsid w:val="00C85794"/>
  </w:style>
  <w:style w:type="character" w:customStyle="1" w:styleId="HeaderChar">
    <w:name w:val="Header Char"/>
    <w:basedOn w:val="DefaultParagraphFont"/>
    <w:link w:val="Header"/>
    <w:uiPriority w:val="99"/>
    <w:rsid w:val="00C85794"/>
    <w:rPr>
      <w:rFonts w:asciiTheme="minorHAnsi" w:hAnsiTheme="minorHAnsi"/>
      <w:sz w:val="19"/>
    </w:rPr>
  </w:style>
  <w:style w:type="paragraph" w:styleId="Footer">
    <w:name w:val="footer"/>
    <w:basedOn w:val="Normal"/>
    <w:link w:val="FooterChar"/>
    <w:uiPriority w:val="99"/>
    <w:unhideWhenUsed/>
    <w:rsid w:val="00C85794"/>
    <w:pPr>
      <w:spacing w:after="0" w:line="240" w:lineRule="auto"/>
    </w:pPr>
    <w:rPr>
      <w:sz w:val="19"/>
    </w:rPr>
  </w:style>
  <w:style w:type="character" w:customStyle="1" w:styleId="FooterChar">
    <w:name w:val="Footer Char"/>
    <w:basedOn w:val="DefaultParagraphFont"/>
    <w:link w:val="Footer"/>
    <w:uiPriority w:val="99"/>
    <w:rsid w:val="00C85794"/>
    <w:rPr>
      <w:sz w:val="19"/>
    </w:rPr>
  </w:style>
  <w:style w:type="character" w:customStyle="1" w:styleId="Heading1Char">
    <w:name w:val="Heading 1 Char"/>
    <w:basedOn w:val="DefaultParagraphFont"/>
    <w:link w:val="Heading1"/>
    <w:uiPriority w:val="9"/>
    <w:rsid w:val="00C85794"/>
    <w:rPr>
      <w:rFonts w:asciiTheme="majorHAnsi" w:eastAsiaTheme="majorEastAsia" w:hAnsiTheme="majorHAnsi" w:cstheme="majorBidi"/>
      <w:b/>
      <w:bCs/>
      <w:i/>
      <w:sz w:val="32"/>
      <w:szCs w:val="28"/>
    </w:rPr>
  </w:style>
  <w:style w:type="character" w:customStyle="1" w:styleId="Heading2Char">
    <w:name w:val="Heading 2 Char"/>
    <w:basedOn w:val="DefaultParagraphFont"/>
    <w:link w:val="Heading2"/>
    <w:uiPriority w:val="9"/>
    <w:rsid w:val="00C85794"/>
    <w:rPr>
      <w:rFonts w:asciiTheme="majorHAnsi" w:eastAsiaTheme="majorEastAsia" w:hAnsiTheme="majorHAnsi" w:cstheme="majorBidi"/>
      <w:b/>
      <w:bCs/>
      <w:i/>
      <w:sz w:val="24"/>
      <w:szCs w:val="26"/>
    </w:rPr>
  </w:style>
  <w:style w:type="character" w:customStyle="1" w:styleId="Heading3Char">
    <w:name w:val="Heading 3 Char"/>
    <w:basedOn w:val="DefaultParagraphFont"/>
    <w:link w:val="Heading3"/>
    <w:uiPriority w:val="9"/>
    <w:rsid w:val="00C85794"/>
    <w:rPr>
      <w:rFonts w:asciiTheme="majorHAnsi" w:eastAsiaTheme="majorEastAsia" w:hAnsiTheme="majorHAnsi" w:cstheme="majorBidi"/>
      <w:bCs/>
      <w:i/>
      <w:sz w:val="24"/>
    </w:rPr>
  </w:style>
  <w:style w:type="character" w:customStyle="1" w:styleId="Heading4Char">
    <w:name w:val="Heading 4 Char"/>
    <w:basedOn w:val="DefaultParagraphFont"/>
    <w:link w:val="Heading4"/>
    <w:uiPriority w:val="9"/>
    <w:rsid w:val="00C85794"/>
    <w:rPr>
      <w:rFonts w:asciiTheme="majorHAnsi" w:eastAsiaTheme="majorEastAsia" w:hAnsiTheme="majorHAnsi" w:cstheme="majorBidi"/>
      <w:bCs/>
      <w:i/>
      <w:iCs/>
    </w:rPr>
  </w:style>
  <w:style w:type="character" w:customStyle="1" w:styleId="Heading5Char">
    <w:name w:val="Heading 5 Char"/>
    <w:basedOn w:val="DefaultParagraphFont"/>
    <w:link w:val="Heading5"/>
    <w:uiPriority w:val="9"/>
    <w:rsid w:val="00C85794"/>
    <w:rPr>
      <w:rFonts w:asciiTheme="majorHAnsi" w:eastAsiaTheme="majorEastAsia" w:hAnsiTheme="majorHAnsi" w:cstheme="majorBidi"/>
    </w:rPr>
  </w:style>
  <w:style w:type="paragraph" w:styleId="TOCHeading">
    <w:name w:val="TOC Heading"/>
    <w:basedOn w:val="Heading1"/>
    <w:next w:val="BodyText"/>
    <w:uiPriority w:val="39"/>
    <w:unhideWhenUsed/>
    <w:qFormat/>
    <w:rsid w:val="00C85794"/>
    <w:pPr>
      <w:spacing w:before="480"/>
      <w:outlineLvl w:val="9"/>
    </w:pPr>
    <w:rPr>
      <w:lang w:val="en-US"/>
    </w:rPr>
  </w:style>
  <w:style w:type="paragraph" w:styleId="TOC1">
    <w:name w:val="toc 1"/>
    <w:basedOn w:val="Normal"/>
    <w:next w:val="Normal"/>
    <w:autoRedefine/>
    <w:uiPriority w:val="39"/>
    <w:unhideWhenUsed/>
    <w:rsid w:val="00C85794"/>
    <w:pPr>
      <w:pBdr>
        <w:top w:val="single" w:sz="8" w:space="4" w:color="968C6D" w:themeColor="text2"/>
      </w:pBdr>
      <w:spacing w:before="120" w:after="120"/>
      <w:ind w:left="284" w:hanging="284"/>
    </w:pPr>
  </w:style>
  <w:style w:type="paragraph" w:styleId="TOC2">
    <w:name w:val="toc 2"/>
    <w:basedOn w:val="Normal"/>
    <w:next w:val="Normal"/>
    <w:autoRedefine/>
    <w:uiPriority w:val="39"/>
    <w:unhideWhenUsed/>
    <w:rsid w:val="00C85794"/>
    <w:pPr>
      <w:pBdr>
        <w:top w:val="dotted" w:sz="8" w:space="4" w:color="968C6D" w:themeColor="text2"/>
      </w:pBdr>
      <w:spacing w:before="120" w:after="120"/>
      <w:ind w:left="284" w:hanging="284"/>
    </w:pPr>
  </w:style>
  <w:style w:type="paragraph" w:styleId="TOC3">
    <w:name w:val="toc 3"/>
    <w:basedOn w:val="Normal"/>
    <w:next w:val="Normal"/>
    <w:autoRedefine/>
    <w:uiPriority w:val="39"/>
    <w:unhideWhenUsed/>
    <w:rsid w:val="00C85794"/>
    <w:pPr>
      <w:spacing w:before="120" w:after="120"/>
      <w:ind w:left="568" w:hanging="284"/>
    </w:pPr>
  </w:style>
  <w:style w:type="character" w:styleId="Hyperlink">
    <w:name w:val="Hyperlink"/>
    <w:basedOn w:val="DefaultParagraphFont"/>
    <w:uiPriority w:val="99"/>
    <w:unhideWhenUsed/>
    <w:rsid w:val="00C85794"/>
    <w:rPr>
      <w:color w:val="968C6D" w:themeColor="hyperlink"/>
      <w:u w:val="single"/>
    </w:rPr>
  </w:style>
  <w:style w:type="paragraph" w:styleId="BalloonText">
    <w:name w:val="Balloon Text"/>
    <w:basedOn w:val="Normal"/>
    <w:link w:val="BalloonTextChar"/>
    <w:uiPriority w:val="99"/>
    <w:semiHidden/>
    <w:unhideWhenUsed/>
    <w:rsid w:val="00C85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794"/>
    <w:rPr>
      <w:rFonts w:ascii="Tahoma" w:hAnsi="Tahoma" w:cs="Tahoma"/>
      <w:sz w:val="16"/>
      <w:szCs w:val="16"/>
    </w:rPr>
  </w:style>
  <w:style w:type="paragraph" w:styleId="ListBullet">
    <w:name w:val="List Bullet"/>
    <w:basedOn w:val="Normal"/>
    <w:uiPriority w:val="13"/>
    <w:unhideWhenUsed/>
    <w:qFormat/>
    <w:rsid w:val="00C85794"/>
    <w:pPr>
      <w:numPr>
        <w:numId w:val="39"/>
      </w:numPr>
      <w:contextualSpacing/>
    </w:pPr>
  </w:style>
  <w:style w:type="numbering" w:customStyle="1" w:styleId="PwCListBullets1">
    <w:name w:val="PwC List Bullets 1"/>
    <w:uiPriority w:val="99"/>
    <w:rsid w:val="00C85794"/>
    <w:pPr>
      <w:numPr>
        <w:numId w:val="11"/>
      </w:numPr>
    </w:pPr>
  </w:style>
  <w:style w:type="numbering" w:customStyle="1" w:styleId="PwCListNumbers1">
    <w:name w:val="PwC List Numbers 1"/>
    <w:uiPriority w:val="99"/>
    <w:rsid w:val="00C85794"/>
    <w:pPr>
      <w:numPr>
        <w:numId w:val="12"/>
      </w:numPr>
    </w:pPr>
  </w:style>
  <w:style w:type="paragraph" w:styleId="ListNumber">
    <w:name w:val="List Number"/>
    <w:basedOn w:val="Normal"/>
    <w:uiPriority w:val="13"/>
    <w:unhideWhenUsed/>
    <w:qFormat/>
    <w:rsid w:val="00C85794"/>
    <w:pPr>
      <w:numPr>
        <w:numId w:val="40"/>
      </w:numPr>
      <w:contextualSpacing/>
    </w:pPr>
  </w:style>
  <w:style w:type="paragraph" w:styleId="ListBullet2">
    <w:name w:val="List Bullet 2"/>
    <w:basedOn w:val="Normal"/>
    <w:uiPriority w:val="13"/>
    <w:unhideWhenUsed/>
    <w:qFormat/>
    <w:rsid w:val="00C85794"/>
    <w:pPr>
      <w:numPr>
        <w:ilvl w:val="1"/>
        <w:numId w:val="39"/>
      </w:numPr>
      <w:contextualSpacing/>
    </w:pPr>
  </w:style>
  <w:style w:type="paragraph" w:styleId="ListBullet3">
    <w:name w:val="List Bullet 3"/>
    <w:basedOn w:val="Normal"/>
    <w:uiPriority w:val="13"/>
    <w:unhideWhenUsed/>
    <w:qFormat/>
    <w:rsid w:val="00C85794"/>
    <w:pPr>
      <w:numPr>
        <w:ilvl w:val="2"/>
        <w:numId w:val="39"/>
      </w:numPr>
      <w:contextualSpacing/>
    </w:pPr>
  </w:style>
  <w:style w:type="paragraph" w:styleId="ListBullet4">
    <w:name w:val="List Bullet 4"/>
    <w:basedOn w:val="Normal"/>
    <w:uiPriority w:val="13"/>
    <w:unhideWhenUsed/>
    <w:rsid w:val="00C85794"/>
    <w:pPr>
      <w:numPr>
        <w:ilvl w:val="3"/>
        <w:numId w:val="39"/>
      </w:numPr>
      <w:contextualSpacing/>
    </w:pPr>
  </w:style>
  <w:style w:type="paragraph" w:styleId="ListBullet5">
    <w:name w:val="List Bullet 5"/>
    <w:basedOn w:val="Normal"/>
    <w:uiPriority w:val="13"/>
    <w:unhideWhenUsed/>
    <w:rsid w:val="00C85794"/>
    <w:pPr>
      <w:numPr>
        <w:ilvl w:val="4"/>
        <w:numId w:val="39"/>
      </w:numPr>
      <w:contextualSpacing/>
    </w:pPr>
  </w:style>
  <w:style w:type="paragraph" w:styleId="ListNumber2">
    <w:name w:val="List Number 2"/>
    <w:basedOn w:val="Normal"/>
    <w:uiPriority w:val="13"/>
    <w:unhideWhenUsed/>
    <w:qFormat/>
    <w:rsid w:val="00C85794"/>
    <w:pPr>
      <w:numPr>
        <w:ilvl w:val="1"/>
        <w:numId w:val="40"/>
      </w:numPr>
      <w:contextualSpacing/>
    </w:pPr>
  </w:style>
  <w:style w:type="paragraph" w:styleId="ListNumber3">
    <w:name w:val="List Number 3"/>
    <w:basedOn w:val="Normal"/>
    <w:uiPriority w:val="13"/>
    <w:unhideWhenUsed/>
    <w:qFormat/>
    <w:rsid w:val="00C85794"/>
    <w:pPr>
      <w:numPr>
        <w:ilvl w:val="2"/>
        <w:numId w:val="40"/>
      </w:numPr>
      <w:contextualSpacing/>
    </w:pPr>
  </w:style>
  <w:style w:type="paragraph" w:styleId="ListNumber4">
    <w:name w:val="List Number 4"/>
    <w:basedOn w:val="Normal"/>
    <w:uiPriority w:val="13"/>
    <w:unhideWhenUsed/>
    <w:rsid w:val="00C85794"/>
    <w:pPr>
      <w:numPr>
        <w:ilvl w:val="3"/>
        <w:numId w:val="40"/>
      </w:numPr>
      <w:contextualSpacing/>
    </w:pPr>
  </w:style>
  <w:style w:type="paragraph" w:styleId="ListNumber5">
    <w:name w:val="List Number 5"/>
    <w:basedOn w:val="Normal"/>
    <w:uiPriority w:val="13"/>
    <w:unhideWhenUsed/>
    <w:rsid w:val="00C85794"/>
    <w:pPr>
      <w:numPr>
        <w:ilvl w:val="4"/>
        <w:numId w:val="40"/>
      </w:numPr>
      <w:contextualSpacing/>
    </w:pPr>
  </w:style>
  <w:style w:type="paragraph" w:styleId="List">
    <w:name w:val="List"/>
    <w:basedOn w:val="Normal"/>
    <w:uiPriority w:val="99"/>
    <w:semiHidden/>
    <w:unhideWhenUsed/>
    <w:rsid w:val="00C85794"/>
    <w:pPr>
      <w:ind w:left="567" w:hanging="567"/>
      <w:contextualSpacing/>
    </w:pPr>
  </w:style>
  <w:style w:type="paragraph" w:styleId="List2">
    <w:name w:val="List 2"/>
    <w:basedOn w:val="Normal"/>
    <w:uiPriority w:val="99"/>
    <w:semiHidden/>
    <w:unhideWhenUsed/>
    <w:rsid w:val="00C85794"/>
    <w:pPr>
      <w:ind w:left="1134" w:hanging="567"/>
      <w:contextualSpacing/>
    </w:pPr>
  </w:style>
  <w:style w:type="paragraph" w:styleId="ListContinue4">
    <w:name w:val="List Continue 4"/>
    <w:basedOn w:val="Normal"/>
    <w:uiPriority w:val="14"/>
    <w:semiHidden/>
    <w:unhideWhenUsed/>
    <w:rsid w:val="00C85794"/>
    <w:pPr>
      <w:spacing w:after="120"/>
      <w:ind w:left="2268"/>
      <w:contextualSpacing/>
    </w:pPr>
  </w:style>
  <w:style w:type="paragraph" w:styleId="ListContinue5">
    <w:name w:val="List Continue 5"/>
    <w:basedOn w:val="Normal"/>
    <w:uiPriority w:val="14"/>
    <w:semiHidden/>
    <w:unhideWhenUsed/>
    <w:rsid w:val="00C85794"/>
    <w:pPr>
      <w:spacing w:after="120"/>
      <w:ind w:left="2835"/>
      <w:contextualSpacing/>
    </w:pPr>
  </w:style>
  <w:style w:type="paragraph" w:styleId="List3">
    <w:name w:val="List 3"/>
    <w:basedOn w:val="Normal"/>
    <w:uiPriority w:val="99"/>
    <w:semiHidden/>
    <w:unhideWhenUsed/>
    <w:rsid w:val="00C85794"/>
    <w:pPr>
      <w:ind w:left="1701" w:hanging="567"/>
      <w:contextualSpacing/>
    </w:pPr>
  </w:style>
  <w:style w:type="paragraph" w:styleId="List4">
    <w:name w:val="List 4"/>
    <w:basedOn w:val="Normal"/>
    <w:uiPriority w:val="99"/>
    <w:semiHidden/>
    <w:unhideWhenUsed/>
    <w:rsid w:val="00C85794"/>
    <w:pPr>
      <w:ind w:left="2268" w:hanging="567"/>
      <w:contextualSpacing/>
    </w:pPr>
  </w:style>
  <w:style w:type="paragraph" w:styleId="List5">
    <w:name w:val="List 5"/>
    <w:basedOn w:val="Normal"/>
    <w:uiPriority w:val="99"/>
    <w:semiHidden/>
    <w:unhideWhenUsed/>
    <w:rsid w:val="00C85794"/>
    <w:pPr>
      <w:ind w:left="2835" w:hanging="567"/>
      <w:contextualSpacing/>
    </w:pPr>
  </w:style>
  <w:style w:type="table" w:styleId="TableGrid">
    <w:name w:val="Table Grid"/>
    <w:basedOn w:val="TableNormal"/>
    <w:rsid w:val="00C857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PwCTableText">
    <w:name w:val="PwC Table Text"/>
    <w:basedOn w:val="TableNormal"/>
    <w:uiPriority w:val="99"/>
    <w:qFormat/>
    <w:rsid w:val="00C85794"/>
    <w:pPr>
      <w:spacing w:before="60" w:after="60" w:line="240" w:lineRule="auto"/>
    </w:pPr>
    <w:tblPr>
      <w:tblStyleRowBandSize w:val="1"/>
      <w:tblBorders>
        <w:insideH w:val="dotted" w:sz="4" w:space="0" w:color="968C6D" w:themeColor="text2"/>
      </w:tblBorders>
    </w:tblPr>
    <w:tblStylePr w:type="firstRow">
      <w:rPr>
        <w:b/>
      </w:rPr>
      <w:tblPr/>
      <w:tcPr>
        <w:tcBorders>
          <w:top w:val="single" w:sz="6" w:space="0" w:color="968C6D" w:themeColor="text2"/>
          <w:bottom w:val="single" w:sz="6" w:space="0" w:color="968C6D" w:themeColor="text2"/>
        </w:tcBorders>
      </w:tcPr>
    </w:tblStylePr>
    <w:tblStylePr w:type="lastRow">
      <w:rPr>
        <w:b/>
      </w:rPr>
      <w:tblPr/>
      <w:tcPr>
        <w:tcBorders>
          <w:top w:val="single" w:sz="6" w:space="0" w:color="968C6D" w:themeColor="text2"/>
          <w:bottom w:val="single" w:sz="6" w:space="0" w:color="968C6D" w:themeColor="text2"/>
        </w:tcBorders>
      </w:tcPr>
    </w:tblStylePr>
    <w:tblStylePr w:type="band1Horz">
      <w:tblPr/>
      <w:tcPr>
        <w:tcBorders>
          <w:bottom w:val="nil"/>
        </w:tcBorders>
      </w:tcPr>
    </w:tblStylePr>
  </w:style>
  <w:style w:type="character" w:customStyle="1" w:styleId="Heading6Char">
    <w:name w:val="Heading 6 Char"/>
    <w:basedOn w:val="DefaultParagraphFont"/>
    <w:link w:val="Heading6"/>
    <w:uiPriority w:val="9"/>
    <w:semiHidden/>
    <w:rsid w:val="00C8579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C8579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C85794"/>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C85794"/>
    <w:rPr>
      <w:rFonts w:asciiTheme="majorHAnsi" w:eastAsiaTheme="majorEastAsia" w:hAnsiTheme="majorHAnsi" w:cstheme="majorBidi"/>
      <w:iCs/>
    </w:rPr>
  </w:style>
  <w:style w:type="table" w:styleId="MediumShading2-Accent3">
    <w:name w:val="Medium Shading 2 Accent 3"/>
    <w:basedOn w:val="TableNormal"/>
    <w:uiPriority w:val="64"/>
    <w:rsid w:val="00C8579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232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02320" w:themeFill="accent3"/>
      </w:tcPr>
    </w:tblStylePr>
    <w:tblStylePr w:type="lastCol">
      <w:rPr>
        <w:b/>
        <w:bCs/>
        <w:color w:val="FFFFFF" w:themeColor="background1"/>
      </w:rPr>
      <w:tblPr/>
      <w:tcPr>
        <w:tcBorders>
          <w:left w:val="nil"/>
          <w:right w:val="nil"/>
          <w:insideH w:val="nil"/>
          <w:insideV w:val="nil"/>
        </w:tcBorders>
        <w:shd w:val="clear" w:color="auto" w:fill="60232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61"/>
    <w:rsid w:val="00C85794"/>
    <w:pPr>
      <w:spacing w:after="0" w:line="240" w:lineRule="auto"/>
    </w:pPr>
    <w:tblPr>
      <w:tblStyleRowBandSize w:val="1"/>
      <w:tblStyleColBandSize w:val="1"/>
      <w:tblBorders>
        <w:top w:val="single" w:sz="8" w:space="0" w:color="E0301E" w:themeColor="accent6"/>
        <w:left w:val="single" w:sz="8" w:space="0" w:color="E0301E" w:themeColor="accent6"/>
        <w:bottom w:val="single" w:sz="8" w:space="0" w:color="E0301E" w:themeColor="accent6"/>
        <w:right w:val="single" w:sz="8" w:space="0" w:color="E0301E" w:themeColor="accent6"/>
      </w:tblBorders>
    </w:tblPr>
    <w:tblStylePr w:type="firstRow">
      <w:pPr>
        <w:spacing w:before="0" w:after="0" w:line="240" w:lineRule="auto"/>
      </w:pPr>
      <w:rPr>
        <w:b/>
        <w:bCs/>
        <w:color w:val="FFFFFF" w:themeColor="background1"/>
      </w:rPr>
      <w:tblPr/>
      <w:tcPr>
        <w:shd w:val="clear" w:color="auto" w:fill="E0301E" w:themeFill="accent6"/>
      </w:tcPr>
    </w:tblStylePr>
    <w:tblStylePr w:type="lastRow">
      <w:pPr>
        <w:spacing w:before="0" w:after="0" w:line="240" w:lineRule="auto"/>
      </w:pPr>
      <w:rPr>
        <w:b/>
        <w:bCs/>
      </w:rPr>
      <w:tblPr/>
      <w:tcPr>
        <w:tcBorders>
          <w:top w:val="double" w:sz="6" w:space="0" w:color="E0301E" w:themeColor="accent6"/>
          <w:left w:val="single" w:sz="8" w:space="0" w:color="E0301E" w:themeColor="accent6"/>
          <w:bottom w:val="single" w:sz="8" w:space="0" w:color="E0301E" w:themeColor="accent6"/>
          <w:right w:val="single" w:sz="8" w:space="0" w:color="E0301E" w:themeColor="accent6"/>
        </w:tcBorders>
      </w:tcPr>
    </w:tblStylePr>
    <w:tblStylePr w:type="firstCol">
      <w:rPr>
        <w:b/>
        <w:bCs/>
      </w:rPr>
    </w:tblStylePr>
    <w:tblStylePr w:type="lastCol">
      <w:rPr>
        <w:b/>
        <w:bCs/>
      </w:rPr>
    </w:tblStylePr>
    <w:tblStylePr w:type="band1Vert">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tblStylePr w:type="band1Horz">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style>
  <w:style w:type="paragraph" w:customStyle="1" w:styleId="Disclaimer">
    <w:name w:val="Disclaimer"/>
    <w:basedOn w:val="Normal"/>
    <w:link w:val="DisclaimerChar"/>
    <w:qFormat/>
    <w:rsid w:val="00C85794"/>
    <w:pPr>
      <w:spacing w:after="0" w:line="140" w:lineRule="atLeast"/>
    </w:pPr>
    <w:rPr>
      <w:rFonts w:cs="Arial"/>
      <w:noProof/>
      <w:sz w:val="12"/>
      <w:szCs w:val="22"/>
      <w:lang w:eastAsia="en-GB"/>
    </w:rPr>
  </w:style>
  <w:style w:type="character" w:customStyle="1" w:styleId="DisclaimerChar">
    <w:name w:val="Disclaimer Char"/>
    <w:basedOn w:val="DefaultParagraphFont"/>
    <w:link w:val="Disclaimer"/>
    <w:rsid w:val="00C85794"/>
    <w:rPr>
      <w:rFonts w:asciiTheme="minorHAnsi" w:hAnsiTheme="minorHAnsi" w:cs="Arial"/>
      <w:noProof/>
      <w:sz w:val="12"/>
      <w:szCs w:val="22"/>
      <w:lang w:eastAsia="en-GB"/>
    </w:rPr>
  </w:style>
  <w:style w:type="paragraph" w:customStyle="1" w:styleId="Address">
    <w:name w:val="Address"/>
    <w:basedOn w:val="Normal"/>
    <w:link w:val="AddressChar"/>
    <w:qFormat/>
    <w:rsid w:val="00C85794"/>
    <w:pPr>
      <w:spacing w:after="0" w:line="200" w:lineRule="atLeast"/>
    </w:pPr>
    <w:rPr>
      <w:i/>
      <w:noProof/>
      <w:sz w:val="18"/>
      <w:szCs w:val="22"/>
      <w:lang w:eastAsia="en-GB"/>
    </w:rPr>
  </w:style>
  <w:style w:type="character" w:customStyle="1" w:styleId="AddressChar">
    <w:name w:val="Address Char"/>
    <w:basedOn w:val="DefaultParagraphFont"/>
    <w:link w:val="Address"/>
    <w:rsid w:val="00C85794"/>
    <w:rPr>
      <w:i/>
      <w:noProof/>
      <w:sz w:val="18"/>
      <w:szCs w:val="22"/>
      <w:lang w:eastAsia="en-GB"/>
    </w:rPr>
  </w:style>
  <w:style w:type="paragraph" w:styleId="BlockText">
    <w:name w:val="Block Text"/>
    <w:basedOn w:val="Normal"/>
    <w:uiPriority w:val="99"/>
    <w:unhideWhenUsed/>
    <w:qFormat/>
    <w:rsid w:val="00C85794"/>
    <w:pPr>
      <w:spacing w:line="240" w:lineRule="auto"/>
    </w:pPr>
    <w:rPr>
      <w:b/>
      <w:i/>
      <w:color w:val="968C6D" w:themeColor="text2"/>
      <w:sz w:val="48"/>
      <w:szCs w:val="48"/>
    </w:rPr>
  </w:style>
  <w:style w:type="paragraph" w:styleId="BodyText3">
    <w:name w:val="Body Text 3"/>
    <w:basedOn w:val="Normal"/>
    <w:link w:val="BodyText3Char"/>
    <w:uiPriority w:val="99"/>
    <w:semiHidden/>
    <w:unhideWhenUsed/>
    <w:rsid w:val="00C85794"/>
    <w:pPr>
      <w:spacing w:after="120"/>
    </w:pPr>
    <w:rPr>
      <w:sz w:val="16"/>
      <w:szCs w:val="16"/>
    </w:rPr>
  </w:style>
  <w:style w:type="character" w:customStyle="1" w:styleId="BodyText3Char">
    <w:name w:val="Body Text 3 Char"/>
    <w:basedOn w:val="DefaultParagraphFont"/>
    <w:link w:val="BodyText3"/>
    <w:uiPriority w:val="99"/>
    <w:semiHidden/>
    <w:rsid w:val="00C85794"/>
    <w:rPr>
      <w:sz w:val="16"/>
      <w:szCs w:val="16"/>
    </w:rPr>
  </w:style>
  <w:style w:type="paragraph" w:customStyle="1" w:styleId="BlockText2">
    <w:name w:val="Block Text 2"/>
    <w:basedOn w:val="Normal"/>
    <w:uiPriority w:val="99"/>
    <w:qFormat/>
    <w:rsid w:val="00C85794"/>
    <w:pPr>
      <w:pBdr>
        <w:top w:val="single" w:sz="2" w:space="10" w:color="968C6D" w:themeColor="text2"/>
        <w:left w:val="single" w:sz="2" w:space="10" w:color="968C6D" w:themeColor="text2"/>
        <w:bottom w:val="single" w:sz="2" w:space="10" w:color="968C6D" w:themeColor="text2"/>
        <w:right w:val="single" w:sz="2" w:space="10" w:color="968C6D" w:themeColor="text2"/>
      </w:pBdr>
      <w:shd w:val="clear" w:color="auto" w:fill="968C6D" w:themeFill="text2"/>
      <w:spacing w:line="240" w:lineRule="auto"/>
      <w:ind w:left="227" w:right="227"/>
    </w:pPr>
    <w:rPr>
      <w:i/>
      <w:color w:val="FFFFFF" w:themeColor="background2"/>
      <w:sz w:val="48"/>
      <w:szCs w:val="48"/>
    </w:rPr>
  </w:style>
  <w:style w:type="paragraph" w:customStyle="1" w:styleId="BlockText3">
    <w:name w:val="Block Text 3"/>
    <w:basedOn w:val="BlockText"/>
    <w:uiPriority w:val="99"/>
    <w:qFormat/>
    <w:rsid w:val="00C85794"/>
    <w:pPr>
      <w:pBdr>
        <w:top w:val="single" w:sz="8" w:space="10" w:color="F2F2F2" w:themeColor="background2" w:themeShade="F2"/>
        <w:left w:val="single" w:sz="8" w:space="10" w:color="F2F2F2" w:themeColor="background2" w:themeShade="F2"/>
        <w:bottom w:val="single" w:sz="8" w:space="10" w:color="F2F2F2" w:themeColor="background2" w:themeShade="F2"/>
        <w:right w:val="single" w:sz="8" w:space="10" w:color="F2F2F2" w:themeColor="background2" w:themeShade="F2"/>
      </w:pBdr>
      <w:shd w:val="clear" w:color="auto" w:fill="F2F2F2" w:themeFill="background2" w:themeFillShade="F2"/>
      <w:ind w:left="227" w:right="227"/>
    </w:pPr>
    <w:rPr>
      <w:rFonts w:eastAsiaTheme="minorEastAsia"/>
      <w:iCs/>
      <w:color w:val="968C6D" w:themeColor="accent1"/>
      <w:sz w:val="96"/>
      <w:szCs w:val="20"/>
    </w:rPr>
  </w:style>
  <w:style w:type="table" w:customStyle="1" w:styleId="PwCTableFigures">
    <w:name w:val="PwC Table Figures"/>
    <w:basedOn w:val="TableNormal"/>
    <w:uiPriority w:val="99"/>
    <w:qFormat/>
    <w:rsid w:val="00C85794"/>
    <w:pPr>
      <w:tabs>
        <w:tab w:val="decimal" w:pos="1134"/>
      </w:tabs>
      <w:spacing w:before="60" w:after="60" w:line="240" w:lineRule="auto"/>
    </w:pPr>
    <w:rPr>
      <w:rFonts w:asciiTheme="minorHAnsi" w:hAnsiTheme="minorHAnsi"/>
    </w:rPr>
    <w:tblPr>
      <w:tblBorders>
        <w:insideH w:val="dotted" w:sz="4" w:space="0" w:color="968C6D" w:themeColor="text2"/>
      </w:tblBorders>
    </w:tblPr>
    <w:tblStylePr w:type="firstRow">
      <w:rPr>
        <w:b/>
      </w:rPr>
      <w:tblPr/>
      <w:tcPr>
        <w:tcBorders>
          <w:top w:val="single" w:sz="6" w:space="0" w:color="968C6D" w:themeColor="text2"/>
          <w:left w:val="nil"/>
          <w:bottom w:val="single" w:sz="6" w:space="0" w:color="968C6D" w:themeColor="text2"/>
          <w:right w:val="nil"/>
          <w:insideH w:val="nil"/>
          <w:insideV w:val="nil"/>
          <w:tl2br w:val="nil"/>
          <w:tr2bl w:val="nil"/>
        </w:tcBorders>
      </w:tcPr>
    </w:tblStylePr>
    <w:tblStylePr w:type="lastRow">
      <w:rPr>
        <w:rFonts w:asciiTheme="minorHAnsi" w:hAnsiTheme="minorHAnsi"/>
        <w:b/>
        <w:i w:val="0"/>
        <w:color w:val="auto"/>
        <w:sz w:val="20"/>
      </w:rPr>
      <w:tblPr/>
      <w:tcPr>
        <w:tcBorders>
          <w:top w:val="single" w:sz="6" w:space="0" w:color="968C6D" w:themeColor="text2"/>
          <w:left w:val="nil"/>
          <w:bottom w:val="single" w:sz="6" w:space="0" w:color="968C6D" w:themeColor="text2"/>
          <w:right w:val="nil"/>
          <w:insideH w:val="nil"/>
          <w:insideV w:val="nil"/>
          <w:tl2br w:val="nil"/>
          <w:tr2bl w:val="nil"/>
        </w:tcBorders>
      </w:tcPr>
    </w:tblStylePr>
  </w:style>
  <w:style w:type="paragraph" w:styleId="Quote">
    <w:name w:val="Quote"/>
    <w:basedOn w:val="Normal"/>
    <w:next w:val="Normal"/>
    <w:link w:val="QuoteChar"/>
    <w:uiPriority w:val="29"/>
    <w:qFormat/>
    <w:rsid w:val="00C85794"/>
    <w:rPr>
      <w:i/>
      <w:iCs/>
      <w:color w:val="000000" w:themeColor="text1"/>
    </w:rPr>
  </w:style>
  <w:style w:type="character" w:customStyle="1" w:styleId="QuoteChar">
    <w:name w:val="Quote Char"/>
    <w:basedOn w:val="DefaultParagraphFont"/>
    <w:link w:val="Quote"/>
    <w:uiPriority w:val="29"/>
    <w:rsid w:val="00C85794"/>
    <w:rPr>
      <w:i/>
      <w:iCs/>
      <w:color w:val="000000" w:themeColor="text1"/>
    </w:rPr>
  </w:style>
  <w:style w:type="paragraph" w:styleId="TOC4">
    <w:name w:val="toc 4"/>
    <w:basedOn w:val="Normal"/>
    <w:next w:val="Normal"/>
    <w:autoRedefine/>
    <w:uiPriority w:val="39"/>
    <w:unhideWhenUsed/>
    <w:rsid w:val="00C85794"/>
    <w:pPr>
      <w:spacing w:after="120"/>
      <w:ind w:left="851" w:hanging="284"/>
    </w:pPr>
  </w:style>
  <w:style w:type="paragraph" w:styleId="TOC5">
    <w:name w:val="toc 5"/>
    <w:basedOn w:val="Normal"/>
    <w:next w:val="Normal"/>
    <w:autoRedefine/>
    <w:uiPriority w:val="39"/>
    <w:unhideWhenUsed/>
    <w:rsid w:val="00C85794"/>
    <w:pPr>
      <w:spacing w:after="120"/>
      <w:ind w:left="1135" w:hanging="284"/>
    </w:pPr>
  </w:style>
  <w:style w:type="paragraph" w:styleId="TOC6">
    <w:name w:val="toc 6"/>
    <w:basedOn w:val="Normal"/>
    <w:next w:val="Normal"/>
    <w:autoRedefine/>
    <w:uiPriority w:val="39"/>
    <w:semiHidden/>
    <w:unhideWhenUsed/>
    <w:rsid w:val="00C85794"/>
    <w:pPr>
      <w:spacing w:after="120"/>
      <w:ind w:left="1418" w:hanging="284"/>
    </w:pPr>
  </w:style>
  <w:style w:type="paragraph" w:styleId="TOC7">
    <w:name w:val="toc 7"/>
    <w:basedOn w:val="Normal"/>
    <w:next w:val="Normal"/>
    <w:autoRedefine/>
    <w:uiPriority w:val="39"/>
    <w:semiHidden/>
    <w:unhideWhenUsed/>
    <w:rsid w:val="00C85794"/>
    <w:pPr>
      <w:spacing w:after="120"/>
      <w:ind w:left="1702" w:hanging="284"/>
    </w:pPr>
  </w:style>
  <w:style w:type="paragraph" w:styleId="TOC8">
    <w:name w:val="toc 8"/>
    <w:basedOn w:val="Normal"/>
    <w:next w:val="Normal"/>
    <w:autoRedefine/>
    <w:uiPriority w:val="39"/>
    <w:semiHidden/>
    <w:unhideWhenUsed/>
    <w:rsid w:val="00C85794"/>
    <w:pPr>
      <w:spacing w:after="120"/>
      <w:ind w:left="1985" w:hanging="284"/>
    </w:pPr>
  </w:style>
  <w:style w:type="paragraph" w:styleId="TOC9">
    <w:name w:val="toc 9"/>
    <w:basedOn w:val="Normal"/>
    <w:next w:val="Normal"/>
    <w:autoRedefine/>
    <w:uiPriority w:val="39"/>
    <w:semiHidden/>
    <w:unhideWhenUsed/>
    <w:rsid w:val="00C85794"/>
    <w:pPr>
      <w:spacing w:after="120"/>
      <w:ind w:left="2269" w:hanging="284"/>
    </w:pPr>
  </w:style>
  <w:style w:type="paragraph" w:customStyle="1" w:styleId="SubjectReference">
    <w:name w:val="Subject Reference"/>
    <w:basedOn w:val="Normal"/>
    <w:link w:val="SubjectReferenceChar"/>
    <w:rsid w:val="00833094"/>
    <w:pPr>
      <w:keepNext/>
      <w:keepLines/>
    </w:pPr>
    <w:rPr>
      <w:rFonts w:asciiTheme="majorHAnsi" w:hAnsiTheme="majorHAnsi"/>
      <w:b/>
      <w:color w:val="000000"/>
      <w:sz w:val="28"/>
      <w:szCs w:val="24"/>
    </w:rPr>
  </w:style>
  <w:style w:type="character" w:customStyle="1" w:styleId="SubjectReferenceChar">
    <w:name w:val="Subject Reference Char"/>
    <w:basedOn w:val="DefaultParagraphFont"/>
    <w:link w:val="SubjectReference"/>
    <w:rsid w:val="00833094"/>
    <w:rPr>
      <w:rFonts w:asciiTheme="majorHAnsi" w:hAnsiTheme="majorHAnsi"/>
      <w:b/>
      <w:color w:val="000000"/>
      <w:sz w:val="28"/>
      <w:szCs w:val="24"/>
    </w:rPr>
  </w:style>
  <w:style w:type="paragraph" w:customStyle="1" w:styleId="MailingInstructions">
    <w:name w:val="Mailing Instructions"/>
    <w:basedOn w:val="BodyText"/>
    <w:rsid w:val="00833094"/>
    <w:pPr>
      <w:spacing w:after="0"/>
    </w:pPr>
    <w:rPr>
      <w:rFonts w:ascii="Georgia" w:hAnsi="Georgia"/>
      <w:b/>
    </w:rPr>
  </w:style>
  <w:style w:type="paragraph" w:customStyle="1" w:styleId="HangingIndent1">
    <w:name w:val="Hanging Indent 1"/>
    <w:basedOn w:val="Normal"/>
    <w:rsid w:val="00833094"/>
    <w:pPr>
      <w:tabs>
        <w:tab w:val="left" w:pos="567"/>
      </w:tabs>
      <w:ind w:left="567" w:hanging="567"/>
    </w:pPr>
    <w:rPr>
      <w:rFonts w:ascii="Georgia" w:hAnsi="Georgia"/>
    </w:rPr>
  </w:style>
  <w:style w:type="paragraph" w:customStyle="1" w:styleId="HangingIndent2">
    <w:name w:val="Hanging Indent 2"/>
    <w:basedOn w:val="HangingIndent1"/>
    <w:rsid w:val="00833094"/>
    <w:pPr>
      <w:tabs>
        <w:tab w:val="clear" w:pos="567"/>
        <w:tab w:val="left" w:pos="1134"/>
      </w:tabs>
      <w:ind w:left="1134"/>
    </w:pPr>
  </w:style>
  <w:style w:type="character" w:customStyle="1" w:styleId="Italic">
    <w:name w:val="Italic"/>
    <w:rsid w:val="00833094"/>
    <w:rPr>
      <w:i/>
      <w:iCs/>
    </w:rPr>
  </w:style>
  <w:style w:type="character" w:styleId="CommentReference">
    <w:name w:val="annotation reference"/>
    <w:basedOn w:val="DefaultParagraphFont"/>
    <w:uiPriority w:val="99"/>
    <w:semiHidden/>
    <w:unhideWhenUsed/>
    <w:rsid w:val="0038590C"/>
    <w:rPr>
      <w:sz w:val="16"/>
      <w:szCs w:val="16"/>
    </w:rPr>
  </w:style>
  <w:style w:type="paragraph" w:styleId="CommentText">
    <w:name w:val="annotation text"/>
    <w:basedOn w:val="Normal"/>
    <w:link w:val="CommentTextChar"/>
    <w:uiPriority w:val="99"/>
    <w:semiHidden/>
    <w:unhideWhenUsed/>
    <w:rsid w:val="0038590C"/>
    <w:pPr>
      <w:spacing w:line="240" w:lineRule="auto"/>
    </w:pPr>
  </w:style>
  <w:style w:type="character" w:customStyle="1" w:styleId="CommentTextChar">
    <w:name w:val="Comment Text Char"/>
    <w:basedOn w:val="DefaultParagraphFont"/>
    <w:link w:val="CommentText"/>
    <w:uiPriority w:val="99"/>
    <w:semiHidden/>
    <w:rsid w:val="0038590C"/>
    <w:rPr>
      <w:rFonts w:asciiTheme="minorHAnsi" w:hAnsiTheme="minorHAnsi"/>
    </w:rPr>
  </w:style>
  <w:style w:type="paragraph" w:styleId="CommentSubject">
    <w:name w:val="annotation subject"/>
    <w:basedOn w:val="CommentText"/>
    <w:next w:val="CommentText"/>
    <w:link w:val="CommentSubjectChar"/>
    <w:uiPriority w:val="99"/>
    <w:semiHidden/>
    <w:unhideWhenUsed/>
    <w:rsid w:val="0038590C"/>
    <w:rPr>
      <w:b/>
      <w:bCs/>
    </w:rPr>
  </w:style>
  <w:style w:type="character" w:customStyle="1" w:styleId="CommentSubjectChar">
    <w:name w:val="Comment Subject Char"/>
    <w:basedOn w:val="CommentTextChar"/>
    <w:link w:val="CommentSubject"/>
    <w:uiPriority w:val="99"/>
    <w:semiHidden/>
    <w:rsid w:val="0038590C"/>
    <w:rPr>
      <w:rFonts w:asciiTheme="minorHAnsi" w:hAnsiTheme="minorHAnsi"/>
      <w:b/>
      <w:bCs/>
    </w:rPr>
  </w:style>
  <w:style w:type="paragraph" w:styleId="Revision">
    <w:name w:val="Revision"/>
    <w:hidden/>
    <w:uiPriority w:val="99"/>
    <w:semiHidden/>
    <w:rsid w:val="004157D2"/>
    <w:pPr>
      <w:spacing w:after="0" w:line="240" w:lineRule="auto"/>
    </w:pPr>
    <w:rPr>
      <w:rFonts w:asciiTheme="minorHAnsi" w:hAnsiTheme="minorHAnsi"/>
    </w:rPr>
  </w:style>
  <w:style w:type="paragraph" w:customStyle="1" w:styleId="Default">
    <w:name w:val="Default"/>
    <w:rsid w:val="007C58E0"/>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ynton%20Hankin\AppData\Roaming\Microsoft\Templates\PwC_Blank%20Georgia.dotx" TargetMode="External"/></Relationships>
</file>

<file path=word/theme/theme1.xml><?xml version="1.0" encoding="utf-8"?>
<a:theme xmlns:a="http://schemas.openxmlformats.org/drawingml/2006/main" name="PwC">
  <a:themeElements>
    <a:clrScheme name="PwC Grey">
      <a:dk1>
        <a:srgbClr val="000000"/>
      </a:dk1>
      <a:lt1>
        <a:srgbClr val="FFFFFF"/>
      </a:lt1>
      <a:dk2>
        <a:srgbClr val="968C6D"/>
      </a:dk2>
      <a:lt2>
        <a:srgbClr val="FFFFFF"/>
      </a:lt2>
      <a:accent1>
        <a:srgbClr val="968C6D"/>
      </a:accent1>
      <a:accent2>
        <a:srgbClr val="D5D1C5"/>
      </a:accent2>
      <a:accent3>
        <a:srgbClr val="602320"/>
      </a:accent3>
      <a:accent4>
        <a:srgbClr val="DB536A"/>
      </a:accent4>
      <a:accent5>
        <a:srgbClr val="A32020"/>
      </a:accent5>
      <a:accent6>
        <a:srgbClr val="E0301E"/>
      </a:accent6>
      <a:hlink>
        <a:srgbClr val="968C6D"/>
      </a:hlink>
      <a:folHlink>
        <a:srgbClr val="968C6D"/>
      </a:folHlink>
    </a:clrScheme>
    <a:fontScheme name="Pw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nSpc>
            <a:spcPts val="2400"/>
          </a:lnSpc>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Forms / instructions</TermName>
          <TermId xmlns="http://schemas.microsoft.com/office/infopath/2007/PartnerControls">3b4a8449-36ed-475f-b87c-5a8c96e2cfd5</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cfebb02f-394b-4797-a705-4f4a382b1a45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2020-07-05T14:00:00+00:00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65</Value>
      <Value>82</Value>
      <Value>147</Value>
      <Value>76</Value>
      <Value>925</Value>
      <Value>173</Value>
      <Value>11</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TermInfo xmlns="http://schemas.microsoft.com/office/infopath/2007/PartnerControls">
          <TermName xmlns="http://schemas.microsoft.com/office/infopath/2007/PartnerControls">May</TermName>
          <TermId xmlns="http://schemas.microsoft.com/office/infopath/2007/PartnerControls">1042cec9-4e66-4a57-95bc-11e9f9e12db2</TermId>
        </TermInfo>
      </Terms>
    </ka2715b9eb154114a4f57d7fbf82ec75>
    <l003ee8eff60461aa1bd0027aba92ea4 xmlns="814d62cb-2db6-4c25-ab62-b9075facbc11">
      <Terms xmlns="http://schemas.microsoft.com/office/infopath/2007/PartnerControls">
        <TermInfo xmlns="http://schemas.microsoft.com/office/infopath/2007/PartnerControls">
          <TermName xmlns="http://schemas.microsoft.com/office/infopath/2007/PartnerControls">PHI</TermName>
          <TermId xmlns="http://schemas.microsoft.com/office/infopath/2007/PartnerControls">10657f9d-7e9a-e511-8d41-005056b54f10</TermId>
        </TermInfo>
      </Terms>
    </l003ee8eff60461aa1bd0027aba92ea4>
    <APRADescription xmlns="814d62cb-2db6-4c25-ab62-b9075facbc11">Example Audit report HRF 602 - approved for release</APRADescription>
    <APRAActivityID xmlns="814d62cb-2db6-4c25-ab62-b9075facbc11" xsi:nil="true"/>
    <p10c80fc2da942ae8f2ea9b33b6ea0ba xmlns="814d62cb-2db6-4c25-ab62-b9075facbc11">
      <Terms xmlns="http://schemas.microsoft.com/office/infopath/2007/PartnerControl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29ca90e3-c619-4296-b1bf-6e33e4d24a28</TermId>
        </TermInfo>
      </Terms>
    </i08e72d8ce2b4ffa9361f9f4e0a63abc>
    <APRADocScanCheck xmlns="814d62cb-2db6-4c25-ab62-b9075facbc11">false</APRADocScanCheck>
    <aa36a5a650d54f768f171f4d17b8b238 xmlns="814d62cb-2db6-4c25-ab62-b9075facbc11">
      <Terms xmlns="http://schemas.microsoft.com/office/infopath/2007/PartnerControls">
        <TermInfo xmlns="http://schemas.microsoft.com/office/infopath/2007/PartnerControls">
          <TermName xmlns="http://schemas.microsoft.com/office/infopath/2007/PartnerControls">HPS 310 Audit and Related Matters</TermName>
          <TermId xmlns="http://schemas.microsoft.com/office/infopath/2007/PartnerControls">87d85b81-5fd3-430a-8763-c677ed48e4ee</TermId>
        </TermInfo>
      </Terms>
    </aa36a5a650d54f768f171f4d17b8b238>
    <_dlc_DocId xmlns="814d62cb-2db6-4c25-ab62-b9075facbc11">FFWV7ZJCVVFC-199372748-12163</_dlc_DocId>
    <_dlc_DocIdUrl xmlns="814d62cb-2db6-4c25-ab62-b9075facbc11">
      <Url>https://im/teams/ADVAPP/_layouts/15/DocIdRedir.aspx?ID=FFWV7ZJCVVFC-199372748-12163</Url>
      <Description>FFWV7ZJCVVFC-199372748-12163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8aef97a4-ded2-4e4a-9fbc-e666dae3ecd2" ContentTypeId="0x0101008CA7A4F8331B45C7B0D3158B4994D0CA02" PreviousValue="false"/>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BE25211D0E668E489782C1DF50BEB52C" ma:contentTypeVersion="22" ma:contentTypeDescription="Create a new document." ma:contentTypeScope="" ma:versionID="05d874f45296115b6262ef661167fb38">
  <xsd:schema xmlns:xsd="http://www.w3.org/2001/XMLSchema" xmlns:xs="http://www.w3.org/2001/XMLSchema" xmlns:p="http://schemas.microsoft.com/office/2006/metadata/properties" xmlns:ns1="814d62cb-2db6-4c25-ab62-b9075facbc11" targetNamespace="http://schemas.microsoft.com/office/2006/metadata/properties" ma:root="true" ma:fieldsID="91073b11ce1e3c3ea893af1a16b0b089"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ma:readOnly="false">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500d0465-4157-4ac6-9558-402aeec0d615}" ma:internalName="TaxCatchAll" ma:showField="CatchAllData" ma:web="1533f3a6-81c6-458b-a11c-da0ade89bf43">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500d0465-4157-4ac6-9558-402aeec0d615}" ma:internalName="TaxCatchAllLabel" ma:readOnly="true" ma:showField="CatchAllDataLabel" ma:web="1533f3a6-81c6-458b-a11c-da0ade89bf43">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46467-87A8-4A57-9EA3-D1F256CC451A}">
  <ds:schemaRefs>
    <ds:schemaRef ds:uri="http://purl.org/dc/elements/1.1/"/>
    <ds:schemaRef ds:uri="http://schemas.microsoft.com/office/2006/metadata/properties"/>
    <ds:schemaRef ds:uri="814d62cb-2db6-4c25-ab62-b9075facbc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0941760-6D89-4687-9C3D-44471029430E}">
  <ds:schemaRefs>
    <ds:schemaRef ds:uri="http://schemas.microsoft.com/sharepoint/v3/contenttype/forms"/>
  </ds:schemaRefs>
</ds:datastoreItem>
</file>

<file path=customXml/itemProps3.xml><?xml version="1.0" encoding="utf-8"?>
<ds:datastoreItem xmlns:ds="http://schemas.openxmlformats.org/officeDocument/2006/customXml" ds:itemID="{A24DE2D6-2D0D-49E8-ACE2-479F23D66492}">
  <ds:schemaRefs>
    <ds:schemaRef ds:uri="http://schemas.microsoft.com/sharepoint/events"/>
  </ds:schemaRefs>
</ds:datastoreItem>
</file>

<file path=customXml/itemProps4.xml><?xml version="1.0" encoding="utf-8"?>
<ds:datastoreItem xmlns:ds="http://schemas.openxmlformats.org/officeDocument/2006/customXml" ds:itemID="{C7DEADB8-05B7-43DC-B3FA-4800FC1F60FD}">
  <ds:schemaRefs>
    <ds:schemaRef ds:uri="Microsoft.SharePoint.Taxonomy.ContentTypeSync"/>
  </ds:schemaRefs>
</ds:datastoreItem>
</file>

<file path=customXml/itemProps5.xml><?xml version="1.0" encoding="utf-8"?>
<ds:datastoreItem xmlns:ds="http://schemas.openxmlformats.org/officeDocument/2006/customXml" ds:itemID="{ACFB11E6-7F01-4C07-B186-235DD111E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5188FEB-07BA-4CFA-9113-F1BE3ED05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PwC_Blank Georgia.dotx</Template>
  <TotalTime>9</TotalTime>
  <Pages>7</Pages>
  <Words>2624</Words>
  <Characters>15037</Characters>
  <Application>Microsoft Office Word</Application>
  <DocSecurity>0</DocSecurity>
  <Lines>259</Lines>
  <Paragraphs>109</Paragraphs>
  <ScaleCrop>false</ScaleCrop>
  <HeadingPairs>
    <vt:vector size="2" baseType="variant">
      <vt:variant>
        <vt:lpstr>Title</vt:lpstr>
      </vt:variant>
      <vt:variant>
        <vt:i4>1</vt:i4>
      </vt:variant>
    </vt:vector>
  </HeadingPairs>
  <TitlesOfParts>
    <vt:vector size="1" baseType="lpstr">
      <vt:lpstr>Independent Auditor's Report on HRF 602</vt:lpstr>
    </vt:vector>
  </TitlesOfParts>
  <LinksUpToDate>false</LinksUpToDate>
  <CharactersWithSpaces>17552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Auditor's Report on HRF 602</dc:title>
  <dc:subject/>
  <dc:description/>
  <dcterms:created xsi:type="dcterms:W3CDTF">2020-07-05T23:32:00Z</dcterms:created>
  <dcterms:modified xsi:type="dcterms:W3CDTF">2020-07-06T21:47:00Z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PwC_Letter</vt:lpwstr>
  </property>
  <property fmtid="{D5CDD505-2E9C-101B-9397-08002B2CF9AE}" pid="3" name="DialogName">
    <vt:lpwstr>frmLetter</vt:lpwstr>
  </property>
  <property fmtid="{D5CDD505-2E9C-101B-9397-08002B2CF9AE}" pid="4" name="PM_ProtectiveMarkingValue_Footer">
    <vt:lpwstr>Personal</vt:lpwstr>
  </property>
  <property fmtid="{D5CDD505-2E9C-101B-9397-08002B2CF9AE}" pid="5" name="PM_Caveats_Count">
    <vt:lpwstr>0</vt:lpwstr>
  </property>
  <property fmtid="{D5CDD505-2E9C-101B-9397-08002B2CF9AE}" pid="6" name="PM_Originator_Hash_SHA1">
    <vt:lpwstr>B866A57D3A13B738028331697EE9E5B3795C2CB6</vt:lpwstr>
  </property>
  <property fmtid="{D5CDD505-2E9C-101B-9397-08002B2CF9AE}" pid="7" name="PM_SecurityClassification">
    <vt:lpwstr>UNOFFICIAL</vt:lpwstr>
  </property>
  <property fmtid="{D5CDD505-2E9C-101B-9397-08002B2CF9AE}" pid="8" name="PM_DisplayValueSecClassificationWithQualifier">
    <vt:lpwstr>Personal</vt:lpwstr>
  </property>
  <property fmtid="{D5CDD505-2E9C-101B-9397-08002B2CF9AE}" pid="9" name="PM_Qualifier">
    <vt:lpwstr/>
  </property>
  <property fmtid="{D5CDD505-2E9C-101B-9397-08002B2CF9AE}" pid="10" name="PM_Hash_SHA1">
    <vt:lpwstr>423F73F9FB093656CB1ABD61CF19CDE12A47DFD1</vt:lpwstr>
  </property>
  <property fmtid="{D5CDD505-2E9C-101B-9397-08002B2CF9AE}" pid="11" name="PM_ProtectiveMarkingImage_Header">
    <vt:lpwstr>C:\Program Files\Common Files\janusNET Shared\janusSEAL\Images\DocumentSlashBlue.png</vt:lpwstr>
  </property>
  <property fmtid="{D5CDD505-2E9C-101B-9397-08002B2CF9AE}" pid="12" name="PM_InsertionValue">
    <vt:lpwstr>Personal</vt:lpwstr>
  </property>
  <property fmtid="{D5CDD505-2E9C-101B-9397-08002B2CF9AE}" pid="13" name="PM_ProtectiveMarkingValue_Header">
    <vt:lpwstr>Personal</vt:lpwstr>
  </property>
  <property fmtid="{D5CDD505-2E9C-101B-9397-08002B2CF9AE}" pid="14" name="PM_ProtectiveMarkingImage_Footer">
    <vt:lpwstr>C:\Program Files\Common Files\janusNET Shared\janusSEAL\Images\DocumentSlashBlue.png</vt:lpwstr>
  </property>
  <property fmtid="{D5CDD505-2E9C-101B-9397-08002B2CF9AE}" pid="15" name="PM_Namespace">
    <vt:lpwstr>gov.au</vt:lpwstr>
  </property>
  <property fmtid="{D5CDD505-2E9C-101B-9397-08002B2CF9AE}" pid="16" name="PM_Version">
    <vt:lpwstr>2012.3</vt:lpwstr>
  </property>
  <property fmtid="{D5CDD505-2E9C-101B-9397-08002B2CF9AE}" pid="17" name="PM_Originating_FileId">
    <vt:lpwstr>033E59A4884547E381106080C254CA5D</vt:lpwstr>
  </property>
  <property fmtid="{D5CDD505-2E9C-101B-9397-08002B2CF9AE}" pid="18" name="PM_OriginationTimeStamp">
    <vt:lpwstr>2020-07-06T01:26:38Z</vt:lpwstr>
  </property>
  <property fmtid="{D5CDD505-2E9C-101B-9397-08002B2CF9AE}" pid="19" name="PM_Hash_Version">
    <vt:lpwstr>2018.0</vt:lpwstr>
  </property>
  <property fmtid="{D5CDD505-2E9C-101B-9397-08002B2CF9AE}" pid="20" name="PM_Hash_Salt_Prev">
    <vt:lpwstr>3C08F85849499A736D86D02B3F8085EA</vt:lpwstr>
  </property>
  <property fmtid="{D5CDD505-2E9C-101B-9397-08002B2CF9AE}" pid="21" name="PM_Hash_Salt">
    <vt:lpwstr>8EDC9041051EF62D9B7A2434F6B13F44</vt:lpwstr>
  </property>
  <property fmtid="{D5CDD505-2E9C-101B-9397-08002B2CF9AE}" pid="22" name="ContentTypeId">
    <vt:lpwstr>0x0101008CA7A4F8331B45C7B0D3158B4994D0CA0200BE25211D0E668E489782C1DF50BEB52C</vt:lpwstr>
  </property>
  <property fmtid="{D5CDD505-2E9C-101B-9397-08002B2CF9AE}" pid="23" name="APRAPrecedentCategory">
    <vt:lpwstr/>
  </property>
  <property fmtid="{D5CDD505-2E9C-101B-9397-08002B2CF9AE}" pid="24" name="APRAExternalOrganisation">
    <vt:lpwstr/>
  </property>
  <property fmtid="{D5CDD505-2E9C-101B-9397-08002B2CF9AE}" pid="25" name="g0806d3060cc4942a58b2ecf989290ba">
    <vt:lpwstr/>
  </property>
  <property fmtid="{D5CDD505-2E9C-101B-9397-08002B2CF9AE}" pid="26" name="APRAPeriod">
    <vt:lpwstr>82;#May|1042cec9-4e66-4a57-95bc-11e9f9e12db2</vt:lpwstr>
  </property>
  <property fmtid="{D5CDD505-2E9C-101B-9397-08002B2CF9AE}" pid="27" name="ad304c4a429d418787e029ef4ecab7ed">
    <vt:lpwstr/>
  </property>
  <property fmtid="{D5CDD505-2E9C-101B-9397-08002B2CF9AE}" pid="28" name="APRAPrecedentSubCategory">
    <vt:lpwstr/>
  </property>
  <property fmtid="{D5CDD505-2E9C-101B-9397-08002B2CF9AE}" pid="29" name="APRAPRSG">
    <vt:lpwstr>925;#HPS 310 Audit and Related Matters|87d85b81-5fd3-430a-8763-c677ed48e4ee</vt:lpwstr>
  </property>
  <property fmtid="{D5CDD505-2E9C-101B-9397-08002B2CF9AE}" pid="30" name="APRAActivity">
    <vt:lpwstr>76;#Forms / instructions|3b4a8449-36ed-475f-b87c-5a8c96e2cfd5</vt:lpwstr>
  </property>
  <property fmtid="{D5CDD505-2E9C-101B-9397-08002B2CF9AE}" pid="31" name="APRAEntityAdviceSupport">
    <vt:lpwstr/>
  </property>
  <property fmtid="{D5CDD505-2E9C-101B-9397-08002B2CF9AE}" pid="32" name="APRALegislation">
    <vt:lpwstr/>
  </property>
  <property fmtid="{D5CDD505-2E9C-101B-9397-08002B2CF9AE}" pid="33" name="APRAYear">
    <vt:lpwstr>173;#2020|29ca90e3-c619-4296-b1bf-6e33e4d24a28</vt:lpwstr>
  </property>
  <property fmtid="{D5CDD505-2E9C-101B-9397-08002B2CF9AE}" pid="34" name="APRAIndustry">
    <vt:lpwstr>65;#PHI|10657f9d-7e9a-e511-8d41-005056b54f10</vt:lpwstr>
  </property>
  <property fmtid="{D5CDD505-2E9C-101B-9397-08002B2CF9AE}" pid="35" name="_dlc_DocIdItemGuid">
    <vt:lpwstr>145a6f8b-101e-4eac-8fdb-098a83f48ceb</vt:lpwstr>
  </property>
  <property fmtid="{D5CDD505-2E9C-101B-9397-08002B2CF9AE}" pid="36" name="IsLocked">
    <vt:lpwstr>Yes</vt:lpwstr>
  </property>
  <property fmtid="{D5CDD505-2E9C-101B-9397-08002B2CF9AE}" pid="37" name="APRACostCentre">
    <vt:lpwstr/>
  </property>
  <property fmtid="{D5CDD505-2E9C-101B-9397-08002B2CF9AE}" pid="38" name="IT system type">
    <vt:lpwstr/>
  </property>
  <property fmtid="{D5CDD505-2E9C-101B-9397-08002B2CF9AE}" pid="39" name="APRACategory">
    <vt:lpwstr/>
  </property>
  <property fmtid="{D5CDD505-2E9C-101B-9397-08002B2CF9AE}" pid="40" name="APRADocumentType">
    <vt:lpwstr>147;#Form|cfebb02f-394b-4797-a705-4f4a382b1a45</vt:lpwstr>
  </property>
  <property fmtid="{D5CDD505-2E9C-101B-9397-08002B2CF9AE}" pid="41" name="APRAStatus">
    <vt:lpwstr>11;#Final|84d6b2d0-8498-4d62-bf46-bab38babbe9e</vt:lpwstr>
  </property>
  <property fmtid="{D5CDD505-2E9C-101B-9397-08002B2CF9AE}" pid="42" name="APRAIRTR">
    <vt:lpwstr/>
  </property>
  <property fmtid="{D5CDD505-2E9C-101B-9397-08002B2CF9AE}" pid="43" name="RecordPoint_WorkflowType">
    <vt:lpwstr>ActiveSubmitStub</vt:lpwstr>
  </property>
  <property fmtid="{D5CDD505-2E9C-101B-9397-08002B2CF9AE}" pid="44" name="RecordPoint_ActiveItemWebId">
    <vt:lpwstr>{1533f3a6-81c6-458b-a11c-da0ade89bf43}</vt:lpwstr>
  </property>
  <property fmtid="{D5CDD505-2E9C-101B-9397-08002B2CF9AE}" pid="45" name="RecordPoint_ActiveItemSiteId">
    <vt:lpwstr>{3b314a5d-31e2-4c1c-963e-3cc6629771c2}</vt:lpwstr>
  </property>
  <property fmtid="{D5CDD505-2E9C-101B-9397-08002B2CF9AE}" pid="46" name="RecordPoint_ActiveItemListId">
    <vt:lpwstr>{5dca45f6-35e8-4ece-8b80-d81c92721d58}</vt:lpwstr>
  </property>
  <property fmtid="{D5CDD505-2E9C-101B-9397-08002B2CF9AE}" pid="47" name="RecordPoint_ActiveItemUniqueId">
    <vt:lpwstr>{145a6f8b-101e-4eac-8fdb-098a83f48ceb}</vt:lpwstr>
  </property>
  <property fmtid="{D5CDD505-2E9C-101B-9397-08002B2CF9AE}" pid="48" name="RecordPoint_RecordNumberSubmitted">
    <vt:lpwstr>R0001125541</vt:lpwstr>
  </property>
  <property fmtid="{D5CDD505-2E9C-101B-9397-08002B2CF9AE}" pid="49" name="RecordPoint_SubmissionCompleted">
    <vt:lpwstr>2020-07-07T07:58:16.9185755+10:00</vt:lpwstr>
  </property>
  <property fmtid="{D5CDD505-2E9C-101B-9397-08002B2CF9AE}" pid="50" name="_docset_NoMedatataSyncRequired">
    <vt:lpwstr>False</vt:lpwstr>
  </property>
  <property fmtid="{D5CDD505-2E9C-101B-9397-08002B2CF9AE}" pid="51" name="PM_SecurityClassification_Prev">
    <vt:lpwstr>UNOFFICIAL</vt:lpwstr>
  </property>
  <property fmtid="{D5CDD505-2E9C-101B-9397-08002B2CF9AE}" pid="52" name="PM_Qualifier_Prev">
    <vt:lpwstr/>
  </property>
  <property fmtid="{D5CDD505-2E9C-101B-9397-08002B2CF9AE}" pid="53" name="PM_Note">
    <vt:lpwstr/>
  </property>
  <property fmtid="{D5CDD505-2E9C-101B-9397-08002B2CF9AE}" pid="54" name="PM_Markers">
    <vt:lpwstr/>
  </property>
  <property fmtid="{D5CDD505-2E9C-101B-9397-08002B2CF9AE}" pid="55" name="RecordPoint_SubmissionDate">
    <vt:lpwstr/>
  </property>
  <property fmtid="{D5CDD505-2E9C-101B-9397-08002B2CF9AE}" pid="56" name="RecordPoint_ActiveItemMoved">
    <vt:lpwstr/>
  </property>
  <property fmtid="{D5CDD505-2E9C-101B-9397-08002B2CF9AE}" pid="57" name="RecordPoint_RecordFormat">
    <vt:lpwstr/>
  </property>
</Properties>
</file>